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C9" w:rsidRPr="00C53F36" w:rsidRDefault="008761C9" w:rsidP="008761C9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761C9" w:rsidRPr="00C53F36" w:rsidRDefault="008761C9" w:rsidP="008761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8761C9" w:rsidRPr="00C53F36" w:rsidRDefault="008761C9" w:rsidP="008761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8761C9" w:rsidRPr="00C53F36" w:rsidRDefault="008761C9" w:rsidP="008761C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1C9" w:rsidRPr="00C53F36" w:rsidRDefault="008761C9" w:rsidP="008761C9">
      <w:pPr>
        <w:widowControl w:val="0"/>
        <w:autoSpaceDE w:val="0"/>
        <w:autoSpaceDN w:val="0"/>
        <w:adjustRightInd w:val="0"/>
        <w:spacing w:after="0" w:line="30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C5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61C9" w:rsidRPr="00C53F36" w:rsidRDefault="008761C9" w:rsidP="008761C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1C9" w:rsidRPr="00C53F36" w:rsidRDefault="008761C9" w:rsidP="008761C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сть-Дунгуй</w:t>
      </w:r>
      <w:proofErr w:type="spellEnd"/>
    </w:p>
    <w:p w:rsidR="008761C9" w:rsidRPr="00862C6B" w:rsidRDefault="008761C9" w:rsidP="008761C9">
      <w:pPr>
        <w:rPr>
          <w:kern w:val="28"/>
          <w:sz w:val="28"/>
          <w:szCs w:val="28"/>
        </w:rPr>
      </w:pPr>
    </w:p>
    <w:p w:rsidR="008761C9" w:rsidRPr="00563E16" w:rsidRDefault="008761C9" w:rsidP="0087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:rsidR="008761C9" w:rsidRPr="00563E16" w:rsidRDefault="008761C9" w:rsidP="00876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«Алтайское»</w:t>
      </w:r>
    </w:p>
    <w:p w:rsidR="008761C9" w:rsidRPr="00563E16" w:rsidRDefault="008761C9" w:rsidP="00876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C9" w:rsidRPr="00563E16" w:rsidRDefault="008761C9" w:rsidP="0087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 и  Положения о бюджетном процессе в МО СП «Алтайское» ПОСТАНОВЛЯЮ:</w:t>
      </w:r>
    </w:p>
    <w:p w:rsidR="008761C9" w:rsidRPr="00563E16" w:rsidRDefault="008761C9" w:rsidP="008761C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сельского поселения «Алтайское» за 9 месяцев 2017 года согласно приложению.</w:t>
      </w:r>
    </w:p>
    <w:p w:rsidR="008761C9" w:rsidRPr="00563E16" w:rsidRDefault="008761C9" w:rsidP="008761C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>Направить отчет об исполнении бюджета муниципального образования сельского  поселения «Алтайское» за 9 месяцев 2017 года в Совет депутатов МО «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563E16">
        <w:rPr>
          <w:rFonts w:ascii="Times New Roman" w:hAnsi="Times New Roman" w:cs="Times New Roman"/>
          <w:sz w:val="24"/>
          <w:szCs w:val="24"/>
        </w:rPr>
        <w:t xml:space="preserve"> район» и Контрольно-счетную палату МО  «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563E1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761C9" w:rsidRPr="00563E16" w:rsidRDefault="008761C9" w:rsidP="0087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>3. Направить отчет об исполнении бюджета муниципального образования сельского  поселения «Алтайское» за 9 месяцев 2017 года в Совет депутатов МО СП «Алтайское».</w:t>
      </w:r>
    </w:p>
    <w:p w:rsidR="008761C9" w:rsidRPr="00563E16" w:rsidRDefault="008761C9" w:rsidP="0087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>4.   Контроль над исполнением настоящего постановления оставляю за собой.</w:t>
      </w:r>
    </w:p>
    <w:p w:rsidR="008761C9" w:rsidRPr="00563E16" w:rsidRDefault="008761C9" w:rsidP="00876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ab/>
        <w:t xml:space="preserve">5. Настоящее постановление вступает в силу </w:t>
      </w:r>
      <w:proofErr w:type="gramStart"/>
      <w:r w:rsidRPr="00563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3E16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8761C9" w:rsidRPr="00563E16" w:rsidRDefault="008761C9" w:rsidP="00876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C9" w:rsidRPr="00563E16" w:rsidRDefault="008761C9" w:rsidP="00876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1C9" w:rsidRPr="00563E16" w:rsidRDefault="008761C9" w:rsidP="00876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1C9" w:rsidRPr="00563E16" w:rsidRDefault="008761C9" w:rsidP="00876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61C9" w:rsidRPr="00563E16" w:rsidRDefault="008761C9" w:rsidP="00876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E16">
        <w:rPr>
          <w:rFonts w:ascii="Times New Roman" w:hAnsi="Times New Roman" w:cs="Times New Roman"/>
          <w:sz w:val="24"/>
          <w:szCs w:val="24"/>
        </w:rPr>
        <w:t xml:space="preserve">Глава МО СП «Алтайское»                                         </w:t>
      </w:r>
      <w:proofErr w:type="spellStart"/>
      <w:r w:rsidRPr="00563E16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</w:p>
    <w:p w:rsidR="008761C9" w:rsidRPr="00563E16" w:rsidRDefault="008761C9" w:rsidP="008761C9">
      <w:pPr>
        <w:spacing w:after="0"/>
        <w:ind w:firstLine="698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8761C9" w:rsidRPr="00563E16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 w:cs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Pr="00563E16" w:rsidRDefault="008761C9" w:rsidP="008761C9">
      <w:pPr>
        <w:spacing w:after="0"/>
        <w:ind w:firstLine="698"/>
        <w:jc w:val="right"/>
        <w:rPr>
          <w:rStyle w:val="a7"/>
          <w:rFonts w:ascii="Times New Roman" w:hAnsi="Times New Roman"/>
          <w:bCs w:val="0"/>
          <w:sz w:val="24"/>
          <w:szCs w:val="24"/>
        </w:rPr>
      </w:pPr>
    </w:p>
    <w:p w:rsidR="008761C9" w:rsidRPr="00CC6400" w:rsidRDefault="008761C9" w:rsidP="008761C9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 w:rsidRPr="00CC64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tbl>
      <w:tblPr>
        <w:tblW w:w="10348" w:type="dxa"/>
        <w:tblInd w:w="-459" w:type="dxa"/>
        <w:tblLayout w:type="fixed"/>
        <w:tblLook w:val="0000"/>
      </w:tblPr>
      <w:tblGrid>
        <w:gridCol w:w="2936"/>
        <w:gridCol w:w="711"/>
        <w:gridCol w:w="276"/>
        <w:gridCol w:w="276"/>
        <w:gridCol w:w="870"/>
        <w:gridCol w:w="870"/>
        <w:gridCol w:w="870"/>
        <w:gridCol w:w="391"/>
        <w:gridCol w:w="1620"/>
        <w:gridCol w:w="1528"/>
      </w:tblGrid>
      <w:tr w:rsidR="008761C9" w:rsidRPr="00CC6400" w:rsidTr="00957D3D">
        <w:trPr>
          <w:trHeight w:val="360"/>
        </w:trPr>
        <w:tc>
          <w:tcPr>
            <w:tcW w:w="293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8761C9" w:rsidRPr="00CC6400" w:rsidTr="00957D3D">
        <w:trPr>
          <w:trHeight w:val="415"/>
        </w:trPr>
        <w:tc>
          <w:tcPr>
            <w:tcW w:w="293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Форма по ОКУД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0503160</w:t>
            </w:r>
          </w:p>
        </w:tc>
      </w:tr>
      <w:tr w:rsidR="008761C9" w:rsidRPr="00CC6400" w:rsidTr="00957D3D">
        <w:trPr>
          <w:trHeight w:val="345"/>
        </w:trPr>
        <w:tc>
          <w:tcPr>
            <w:tcW w:w="293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shd w:val="clear" w:color="auto" w:fill="D5EEFF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на «01»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640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CC640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761C9" w:rsidRPr="00CC6400" w:rsidTr="00957D3D">
        <w:trPr>
          <w:trHeight w:val="537"/>
        </w:trPr>
        <w:tc>
          <w:tcPr>
            <w:tcW w:w="4199" w:type="dxa"/>
            <w:gridSpan w:val="4"/>
            <w:vMerge w:val="restart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3001" w:type="dxa"/>
            <w:gridSpan w:val="4"/>
            <w:vMerge w:val="restart"/>
            <w:tcBorders>
              <w:bottom w:val="single" w:sz="4" w:space="0" w:color="000000"/>
            </w:tcBorders>
            <w:shd w:val="clear" w:color="auto" w:fill="D5EEFF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"Алтайское" </w:t>
            </w:r>
            <w:proofErr w:type="spellStart"/>
            <w:r w:rsidRPr="00CC6400">
              <w:rPr>
                <w:rFonts w:ascii="Times New Roman" w:hAnsi="Times New Roman"/>
                <w:sz w:val="28"/>
                <w:szCs w:val="28"/>
              </w:rPr>
              <w:t>Кяхтинского</w:t>
            </w:r>
            <w:proofErr w:type="spellEnd"/>
            <w:r w:rsidRPr="00CC6400">
              <w:rPr>
                <w:rFonts w:ascii="Times New Roman" w:hAnsi="Times New Roman"/>
                <w:sz w:val="28"/>
                <w:szCs w:val="28"/>
              </w:rPr>
              <w:t xml:space="preserve"> района Республики Бурятия</w:t>
            </w: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 ОКПО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761C9" w:rsidRPr="00CC6400" w:rsidTr="00957D3D">
        <w:trPr>
          <w:trHeight w:val="1425"/>
        </w:trPr>
        <w:tc>
          <w:tcPr>
            <w:tcW w:w="4199" w:type="dxa"/>
            <w:gridSpan w:val="4"/>
            <w:vMerge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</w:tr>
      <w:tr w:rsidR="008761C9" w:rsidRPr="00CC6400" w:rsidTr="00957D3D">
        <w:trPr>
          <w:trHeight w:val="795"/>
        </w:trPr>
        <w:tc>
          <w:tcPr>
            <w:tcW w:w="4199" w:type="dxa"/>
            <w:gridSpan w:val="4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Наименование бюджета (публично-правового образования)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БЮДЖЕТ СЕЛЬСКОГО ПОСЕЛЕНИЯ "Алтайское" КЯХТИНСКОГО РАЙОНА</w:t>
            </w: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 ОКАТО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761C9" w:rsidRPr="00CC6400" w:rsidTr="00957D3D">
        <w:trPr>
          <w:trHeight w:val="360"/>
        </w:trPr>
        <w:tc>
          <w:tcPr>
            <w:tcW w:w="4199" w:type="dxa"/>
            <w:gridSpan w:val="4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Периодичность: квартальная, годовая</w:t>
            </w: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761C9" w:rsidRPr="00CC6400" w:rsidTr="00957D3D">
        <w:trPr>
          <w:trHeight w:val="435"/>
        </w:trPr>
        <w:tc>
          <w:tcPr>
            <w:tcW w:w="2936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1263" w:type="dxa"/>
            <w:gridSpan w:val="3"/>
            <w:shd w:val="clear" w:color="auto" w:fill="D5EEFF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8761C9" w:rsidRPr="00CC6400" w:rsidRDefault="008761C9" w:rsidP="00957D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по ОКЕИ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61C9" w:rsidRPr="00CC6400" w:rsidRDefault="008761C9" w:rsidP="00957D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400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</w:tbl>
    <w:p w:rsidR="008761C9" w:rsidRPr="00CC6400" w:rsidRDefault="008761C9" w:rsidP="008761C9">
      <w:pPr>
        <w:tabs>
          <w:tab w:val="left" w:pos="2520"/>
        </w:tabs>
        <w:spacing w:after="0" w:line="360" w:lineRule="auto"/>
        <w:ind w:left="-567" w:firstLine="540"/>
        <w:rPr>
          <w:rFonts w:ascii="Times New Roman" w:hAnsi="Times New Roman"/>
          <w:b/>
          <w:sz w:val="28"/>
          <w:szCs w:val="28"/>
        </w:rPr>
      </w:pPr>
      <w:r w:rsidRPr="00CC6400">
        <w:rPr>
          <w:rFonts w:ascii="Times New Roman" w:hAnsi="Times New Roman"/>
          <w:b/>
          <w:sz w:val="28"/>
          <w:szCs w:val="28"/>
        </w:rPr>
        <w:tab/>
      </w:r>
    </w:p>
    <w:p w:rsidR="008761C9" w:rsidRPr="00CC6400" w:rsidRDefault="008761C9" w:rsidP="008761C9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8"/>
          <w:szCs w:val="28"/>
        </w:rPr>
      </w:pPr>
      <w:r w:rsidRPr="00CC6400">
        <w:rPr>
          <w:rFonts w:ascii="Times New Roman" w:hAnsi="Times New Roman"/>
          <w:b/>
          <w:sz w:val="28"/>
          <w:szCs w:val="28"/>
        </w:rPr>
        <w:t>ДОХОДЫ</w:t>
      </w:r>
    </w:p>
    <w:p w:rsidR="008761C9" w:rsidRPr="00CC6400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00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>2017 года по доходам составляет 3740,58082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CC6400">
        <w:rPr>
          <w:rFonts w:ascii="Times New Roman" w:hAnsi="Times New Roman"/>
          <w:sz w:val="28"/>
          <w:szCs w:val="28"/>
        </w:rPr>
        <w:t xml:space="preserve">, в том числе по налоговым и неналоговым доходам – </w:t>
      </w:r>
      <w:r>
        <w:rPr>
          <w:rFonts w:ascii="Times New Roman" w:hAnsi="Times New Roman"/>
          <w:sz w:val="28"/>
          <w:szCs w:val="28"/>
        </w:rPr>
        <w:t>423,10000</w:t>
      </w:r>
      <w:r w:rsidRPr="00CC6400">
        <w:rPr>
          <w:rFonts w:ascii="Times New Roman" w:hAnsi="Times New Roman"/>
          <w:sz w:val="28"/>
          <w:szCs w:val="28"/>
        </w:rPr>
        <w:t xml:space="preserve"> тыс.руб</w:t>
      </w:r>
      <w:r>
        <w:rPr>
          <w:rFonts w:ascii="Times New Roman" w:hAnsi="Times New Roman"/>
          <w:sz w:val="28"/>
          <w:szCs w:val="28"/>
        </w:rPr>
        <w:t>.</w:t>
      </w:r>
      <w:r w:rsidRPr="00CC6400">
        <w:rPr>
          <w:rFonts w:ascii="Times New Roman" w:hAnsi="Times New Roman"/>
          <w:sz w:val="28"/>
          <w:szCs w:val="28"/>
        </w:rPr>
        <w:t xml:space="preserve">, по безвозмездным поступлениям – </w:t>
      </w:r>
      <w:r>
        <w:rPr>
          <w:rFonts w:ascii="Times New Roman" w:hAnsi="Times New Roman"/>
          <w:sz w:val="28"/>
          <w:szCs w:val="28"/>
        </w:rPr>
        <w:t>3317,48082</w:t>
      </w:r>
      <w:r w:rsidRPr="00CC6400">
        <w:rPr>
          <w:rFonts w:ascii="Times New Roman" w:hAnsi="Times New Roman"/>
          <w:sz w:val="28"/>
          <w:szCs w:val="28"/>
        </w:rPr>
        <w:t xml:space="preserve"> тыс.рублей. Исполнение доходной ч</w:t>
      </w:r>
      <w:r>
        <w:rPr>
          <w:rFonts w:ascii="Times New Roman" w:hAnsi="Times New Roman"/>
          <w:sz w:val="28"/>
          <w:szCs w:val="28"/>
        </w:rPr>
        <w:t>асти годового плана бюджета за 9 месяцев2017</w:t>
      </w:r>
      <w:r w:rsidRPr="00CC6400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66,95</w:t>
      </w:r>
      <w:r w:rsidRPr="00CC6400">
        <w:rPr>
          <w:rFonts w:ascii="Times New Roman" w:hAnsi="Times New Roman"/>
          <w:sz w:val="28"/>
          <w:szCs w:val="28"/>
        </w:rPr>
        <w:t>%.</w:t>
      </w:r>
    </w:p>
    <w:p w:rsidR="008761C9" w:rsidRPr="00CC6400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00">
        <w:rPr>
          <w:rFonts w:ascii="Times New Roman" w:hAnsi="Times New Roman"/>
          <w:sz w:val="28"/>
          <w:szCs w:val="28"/>
        </w:rPr>
        <w:lastRenderedPageBreak/>
        <w:t xml:space="preserve">Налоговых и неналоговых доходов поступило </w:t>
      </w:r>
      <w:r>
        <w:rPr>
          <w:rFonts w:ascii="Times New Roman" w:hAnsi="Times New Roman"/>
          <w:sz w:val="28"/>
          <w:szCs w:val="28"/>
        </w:rPr>
        <w:t>105,48531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 xml:space="preserve">уб. Процент исполнения годового плана составил </w:t>
      </w:r>
      <w:r>
        <w:rPr>
          <w:rFonts w:ascii="Times New Roman" w:hAnsi="Times New Roman"/>
          <w:sz w:val="28"/>
          <w:szCs w:val="28"/>
        </w:rPr>
        <w:t>24,93%, к плану на 9 месяцев исполнение составило 65,8 %.</w:t>
      </w:r>
    </w:p>
    <w:tbl>
      <w:tblPr>
        <w:tblW w:w="10931" w:type="dxa"/>
        <w:tblInd w:w="-601" w:type="dxa"/>
        <w:tblLayout w:type="fixed"/>
        <w:tblLook w:val="04A0"/>
      </w:tblPr>
      <w:tblGrid>
        <w:gridCol w:w="2936"/>
        <w:gridCol w:w="1161"/>
        <w:gridCol w:w="1052"/>
        <w:gridCol w:w="1064"/>
        <w:gridCol w:w="1231"/>
        <w:gridCol w:w="1173"/>
        <w:gridCol w:w="2314"/>
      </w:tblGrid>
      <w:tr w:rsidR="008761C9" w:rsidRPr="00CE01D8" w:rsidTr="00957D3D">
        <w:trPr>
          <w:trHeight w:val="315"/>
        </w:trPr>
        <w:tc>
          <w:tcPr>
            <w:tcW w:w="10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Анализ поступления налоговых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еналоговых доходов на 01.10.2017</w:t>
            </w: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761C9" w:rsidRPr="00CE01D8" w:rsidTr="00957D3D">
        <w:trPr>
          <w:trHeight w:val="315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E01D8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E01D8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</w:tr>
    </w:tbl>
    <w:p w:rsidR="008761C9" w:rsidRDefault="008761C9" w:rsidP="008761C9">
      <w:pPr>
        <w:spacing w:after="0" w:line="240" w:lineRule="auto"/>
        <w:ind w:left="-720" w:firstLine="709"/>
        <w:jc w:val="both"/>
        <w:rPr>
          <w:rFonts w:ascii="Times New Roman" w:hAnsi="Times New Roman"/>
          <w:highlight w:val="yellow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2694"/>
        <w:gridCol w:w="1276"/>
        <w:gridCol w:w="1276"/>
        <w:gridCol w:w="1275"/>
        <w:gridCol w:w="1418"/>
        <w:gridCol w:w="992"/>
        <w:gridCol w:w="851"/>
        <w:gridCol w:w="1275"/>
      </w:tblGrid>
      <w:tr w:rsidR="008761C9" w:rsidRPr="00A85BD5" w:rsidTr="00957D3D">
        <w:trPr>
          <w:trHeight w:val="133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>. - на 2017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Утвержд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>. - на 9 месяцев  2017 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Исполнено - 9 месяцев 2017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Исполнено - 9 месяцев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% исполнения 3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% исполнения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C9" w:rsidRPr="0086193E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Абсол</w:t>
            </w:r>
            <w:proofErr w:type="spellEnd"/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193E">
              <w:rPr>
                <w:rFonts w:ascii="Times New Roman" w:hAnsi="Times New Roman"/>
                <w:sz w:val="20"/>
                <w:szCs w:val="20"/>
              </w:rPr>
              <w:t>окл</w:t>
            </w:r>
            <w:proofErr w:type="spellEnd"/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3740580,82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2559233,83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2504359,14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2964826,03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97,86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1C9" w:rsidRPr="00A85BD5" w:rsidTr="00957D3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423100,00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160360,00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105485,31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107084,23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-1598,92</w:t>
            </w:r>
          </w:p>
        </w:tc>
      </w:tr>
      <w:tr w:rsidR="008761C9" w:rsidRPr="00A85BD5" w:rsidTr="00957D3D">
        <w:trPr>
          <w:trHeight w:val="7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16529,59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16611,94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-82,35</w:t>
            </w:r>
          </w:p>
        </w:tc>
      </w:tr>
      <w:tr w:rsidR="008761C9" w:rsidRPr="00A85BD5" w:rsidTr="00957D3D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16529,59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16611,94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96,38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65,59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-82,35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540,02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76,85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-9,75</w:t>
            </w:r>
          </w:p>
        </w:tc>
      </w:tr>
      <w:tr w:rsidR="008761C9" w:rsidRPr="00A85BD5" w:rsidTr="00957D3D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530,27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540,02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76,85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-9,75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393600,00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138920,00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41301,92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64034,43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10,49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-22732,51</w:t>
            </w:r>
          </w:p>
        </w:tc>
      </w:tr>
      <w:tr w:rsidR="008761C9" w:rsidRPr="00A85BD5" w:rsidTr="00957D3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856,75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621,74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235,01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346700,00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131130,00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40446,33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63629,28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30,84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11,67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-23182,95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82200,00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49356,83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66148,35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74,19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60,04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-16791,52</w:t>
            </w:r>
          </w:p>
        </w:tc>
      </w:tr>
      <w:tr w:rsidR="008761C9" w:rsidRPr="00A85BD5" w:rsidTr="00957D3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264500,00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64600,00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33924,26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19562,18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52,51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12,83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14362,08</w:t>
            </w:r>
          </w:p>
        </w:tc>
      </w:tr>
      <w:tr w:rsidR="008761C9" w:rsidRPr="00A85BD5" w:rsidTr="00957D3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61C9" w:rsidRPr="00A85BD5" w:rsidTr="00957D3D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1C9" w:rsidRPr="00A85BD5" w:rsidTr="00957D3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761C9" w:rsidRPr="00A85BD5" w:rsidTr="00957D3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FF80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3317480,82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2398873,83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2398873,83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2857741,80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FF80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61C9" w:rsidRPr="00A85BD5" w:rsidTr="00957D3D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61C9" w:rsidRPr="00A85BD5" w:rsidTr="00957D3D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76200,00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57900,00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61C9" w:rsidRPr="00A85BD5" w:rsidTr="00957D3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3239980,82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2340423,83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2340423,83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2798641,80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72,24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761C9" w:rsidRPr="00A85BD5" w:rsidTr="00957D3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86193E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93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8761C9" w:rsidRPr="00DB0903" w:rsidRDefault="008761C9" w:rsidP="008761C9">
      <w:pPr>
        <w:spacing w:after="0" w:line="240" w:lineRule="auto"/>
        <w:ind w:left="-720" w:firstLine="11"/>
        <w:jc w:val="both"/>
        <w:rPr>
          <w:rFonts w:ascii="Times New Roman" w:hAnsi="Times New Roman"/>
          <w:highlight w:val="yellow"/>
        </w:rPr>
      </w:pPr>
    </w:p>
    <w:p w:rsidR="008761C9" w:rsidRPr="00575C2F" w:rsidRDefault="008761C9" w:rsidP="008761C9">
      <w:pPr>
        <w:spacing w:after="0" w:line="240" w:lineRule="auto"/>
        <w:ind w:left="-720" w:firstLine="11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761C9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1C9" w:rsidRPr="00EF6994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 9 месяцев2017</w:t>
      </w:r>
      <w:r w:rsidRPr="00CC6400">
        <w:rPr>
          <w:rFonts w:ascii="Times New Roman" w:hAnsi="Times New Roman"/>
          <w:sz w:val="28"/>
          <w:szCs w:val="28"/>
        </w:rPr>
        <w:t xml:space="preserve"> года </w:t>
      </w:r>
      <w:r w:rsidRPr="00CC6400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 w:rsidRPr="00CC6400">
        <w:rPr>
          <w:rFonts w:ascii="Times New Roman" w:hAnsi="Times New Roman"/>
          <w:sz w:val="28"/>
          <w:szCs w:val="28"/>
        </w:rPr>
        <w:t xml:space="preserve"> поступил в сумме </w:t>
      </w:r>
      <w:r>
        <w:rPr>
          <w:rFonts w:ascii="Times New Roman" w:hAnsi="Times New Roman"/>
          <w:sz w:val="28"/>
          <w:szCs w:val="28"/>
        </w:rPr>
        <w:t>16,52959</w:t>
      </w:r>
      <w:r w:rsidRPr="00CC640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C6400">
        <w:rPr>
          <w:rFonts w:ascii="Times New Roman" w:hAnsi="Times New Roman"/>
          <w:sz w:val="28"/>
          <w:szCs w:val="28"/>
        </w:rPr>
        <w:t>.р</w:t>
      </w:r>
      <w:proofErr w:type="gramEnd"/>
      <w:r w:rsidRPr="00CC6400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65,6</w:t>
      </w:r>
      <w:r w:rsidRPr="00CC6400">
        <w:rPr>
          <w:rFonts w:ascii="Times New Roman" w:hAnsi="Times New Roman"/>
          <w:sz w:val="28"/>
          <w:szCs w:val="28"/>
        </w:rPr>
        <w:t>% от годового назначения</w:t>
      </w:r>
      <w:r>
        <w:rPr>
          <w:rFonts w:ascii="Times New Roman" w:hAnsi="Times New Roman"/>
          <w:sz w:val="28"/>
          <w:szCs w:val="28"/>
        </w:rPr>
        <w:t>, 96,4% от плана на 9 месяцев</w:t>
      </w:r>
      <w:r w:rsidRPr="00CC6400">
        <w:rPr>
          <w:rFonts w:ascii="Times New Roman" w:hAnsi="Times New Roman"/>
          <w:sz w:val="28"/>
          <w:szCs w:val="28"/>
        </w:rPr>
        <w:t xml:space="preserve">). </w:t>
      </w:r>
      <w:r w:rsidRPr="00DB0903">
        <w:rPr>
          <w:rFonts w:ascii="Times New Roman" w:hAnsi="Times New Roman"/>
          <w:b/>
          <w:sz w:val="28"/>
          <w:szCs w:val="28"/>
          <w:shd w:val="clear" w:color="auto" w:fill="FFFFFF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0903">
        <w:rPr>
          <w:rFonts w:ascii="Times New Roman" w:hAnsi="Times New Roman"/>
          <w:sz w:val="28"/>
          <w:szCs w:val="28"/>
        </w:rPr>
        <w:t xml:space="preserve"> </w:t>
      </w:r>
      <w:r w:rsidRPr="00EC639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 поступило 0,53027 тыс. руб., что составило 75,8</w:t>
      </w:r>
      <w:r w:rsidRPr="00EC639E">
        <w:rPr>
          <w:rFonts w:ascii="Times New Roman" w:hAnsi="Times New Roman"/>
          <w:sz w:val="28"/>
          <w:szCs w:val="28"/>
        </w:rPr>
        <w:t>% к годовому плану</w:t>
      </w:r>
      <w:r>
        <w:rPr>
          <w:rFonts w:ascii="Times New Roman" w:hAnsi="Times New Roman"/>
          <w:sz w:val="28"/>
          <w:szCs w:val="28"/>
        </w:rPr>
        <w:t>, плательщиком является СПК "Алтайское".</w:t>
      </w:r>
    </w:p>
    <w:p w:rsidR="008761C9" w:rsidRPr="00EC639E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39E">
        <w:rPr>
          <w:rFonts w:ascii="Times New Roman" w:hAnsi="Times New Roman"/>
          <w:b/>
          <w:sz w:val="28"/>
          <w:szCs w:val="28"/>
        </w:rPr>
        <w:t xml:space="preserve">По налогу на имущество физических лиц </w:t>
      </w:r>
      <w:r w:rsidRPr="00EC639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 поступило 0,85675</w:t>
      </w:r>
      <w:r w:rsidRPr="00EC639E">
        <w:rPr>
          <w:rFonts w:ascii="Times New Roman" w:hAnsi="Times New Roman"/>
          <w:sz w:val="28"/>
          <w:szCs w:val="28"/>
        </w:rPr>
        <w:t xml:space="preserve"> тыс. руб., что составило 1</w:t>
      </w:r>
      <w:r>
        <w:rPr>
          <w:rFonts w:ascii="Times New Roman" w:hAnsi="Times New Roman"/>
          <w:sz w:val="28"/>
          <w:szCs w:val="28"/>
        </w:rPr>
        <w:t>,8</w:t>
      </w:r>
      <w:r w:rsidRPr="00EC639E">
        <w:rPr>
          <w:rFonts w:ascii="Times New Roman" w:hAnsi="Times New Roman"/>
          <w:sz w:val="28"/>
          <w:szCs w:val="28"/>
        </w:rPr>
        <w:t xml:space="preserve">% к годовому плану. 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>В сравнении с аналогичным периодом прошлого года доход увеличился на 0,</w:t>
      </w:r>
      <w:r>
        <w:rPr>
          <w:rFonts w:ascii="Times New Roman" w:hAnsi="Times New Roman"/>
          <w:sz w:val="28"/>
          <w:szCs w:val="28"/>
          <w:shd w:val="clear" w:color="auto" w:fill="FFFFFF"/>
        </w:rPr>
        <w:t>23501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уб., что связано с уплатой задолженности по налогу.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Низкое исполнение налога на имущество связано со сроком уплаты налога на имущество до 01.12.2017 года. </w:t>
      </w:r>
    </w:p>
    <w:p w:rsidR="008761C9" w:rsidRDefault="008761C9" w:rsidP="008761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EC639E">
        <w:rPr>
          <w:rFonts w:ascii="Times New Roman" w:hAnsi="Times New Roman"/>
          <w:b/>
          <w:sz w:val="28"/>
          <w:szCs w:val="28"/>
          <w:shd w:val="clear" w:color="auto" w:fill="FFFFFF"/>
        </w:rPr>
        <w:t>земельному налогу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в доход бюджета поступило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40,44633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уб., исполнение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годовому плану составил 11,7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%. В сравнении с аналогичным периодом прошлого года доход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уменьшился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23,18295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тыс.руб.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изменениями срока оплаты налога до 1 декабря.</w:t>
      </w:r>
    </w:p>
    <w:p w:rsidR="008761C9" w:rsidRDefault="008761C9" w:rsidP="008761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29A">
        <w:rPr>
          <w:rFonts w:ascii="Times New Roman" w:hAnsi="Times New Roman"/>
          <w:b/>
          <w:sz w:val="28"/>
          <w:szCs w:val="28"/>
          <w:shd w:val="clear" w:color="auto" w:fill="FFFFFF"/>
        </w:rPr>
        <w:t>Доходы от использования имущества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поступили на сумму 3,60000 тыс. рублей, исполнение к годовому плану составило 100%.</w:t>
      </w:r>
    </w:p>
    <w:p w:rsidR="008761C9" w:rsidRPr="00A17B93" w:rsidRDefault="008761C9" w:rsidP="008761C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17B93">
        <w:rPr>
          <w:rFonts w:ascii="Times New Roman" w:hAnsi="Times New Roman"/>
          <w:b/>
          <w:sz w:val="28"/>
          <w:szCs w:val="28"/>
          <w:shd w:val="clear" w:color="auto" w:fill="FFFFFF"/>
        </w:rPr>
        <w:t>Прочие неналоговые доходы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17B93">
        <w:rPr>
          <w:rFonts w:ascii="Times New Roman" w:hAnsi="Times New Roman"/>
          <w:sz w:val="28"/>
          <w:szCs w:val="28"/>
          <w:shd w:val="clear" w:color="auto" w:fill="FFFFFF"/>
        </w:rPr>
        <w:t>поступили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0,68761</w:t>
      </w:r>
      <w:r w:rsidRPr="00EC639E">
        <w:rPr>
          <w:rFonts w:ascii="Times New Roman" w:hAnsi="Times New Roman"/>
          <w:sz w:val="28"/>
          <w:szCs w:val="28"/>
          <w:shd w:val="clear" w:color="auto" w:fill="FFFFFF"/>
        </w:rPr>
        <w:t xml:space="preserve"> тыс</w:t>
      </w:r>
      <w:proofErr w:type="gramStart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 w:rsidRPr="00EC639E">
        <w:rPr>
          <w:rFonts w:ascii="Times New Roman" w:hAnsi="Times New Roman"/>
          <w:sz w:val="28"/>
          <w:szCs w:val="28"/>
          <w:shd w:val="clear" w:color="auto" w:fill="FFFFFF"/>
        </w:rPr>
        <w:t>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61C9" w:rsidRDefault="008761C9" w:rsidP="008761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BAC">
        <w:rPr>
          <w:rFonts w:ascii="Times New Roman" w:hAnsi="Times New Roman"/>
          <w:sz w:val="28"/>
          <w:szCs w:val="28"/>
        </w:rPr>
        <w:t xml:space="preserve">2. Сумма </w:t>
      </w:r>
      <w:r w:rsidRPr="00EA3BAC">
        <w:rPr>
          <w:rFonts w:ascii="Times New Roman" w:hAnsi="Times New Roman"/>
          <w:b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за 9 месяцев2017</w:t>
      </w:r>
      <w:r w:rsidRPr="00EA3BAC">
        <w:rPr>
          <w:rFonts w:ascii="Times New Roman" w:hAnsi="Times New Roman"/>
          <w:sz w:val="28"/>
          <w:szCs w:val="28"/>
        </w:rPr>
        <w:t xml:space="preserve"> года сост</w:t>
      </w:r>
      <w:r>
        <w:rPr>
          <w:rFonts w:ascii="Times New Roman" w:hAnsi="Times New Roman"/>
          <w:sz w:val="28"/>
          <w:szCs w:val="28"/>
        </w:rPr>
        <w:t>авила 2398,87383</w:t>
      </w:r>
      <w:r w:rsidRPr="00EA3BA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EA3BAC">
        <w:rPr>
          <w:rFonts w:ascii="Times New Roman" w:hAnsi="Times New Roman"/>
          <w:sz w:val="28"/>
          <w:szCs w:val="28"/>
        </w:rPr>
        <w:t>.р</w:t>
      </w:r>
      <w:proofErr w:type="gramEnd"/>
      <w:r w:rsidRPr="00EA3BAC">
        <w:rPr>
          <w:rFonts w:ascii="Times New Roman" w:hAnsi="Times New Roman"/>
          <w:sz w:val="28"/>
          <w:szCs w:val="28"/>
        </w:rPr>
        <w:t xml:space="preserve">уб. Процент исполнения к годовым назначениям равен </w:t>
      </w:r>
      <w:r>
        <w:rPr>
          <w:rFonts w:ascii="Times New Roman" w:hAnsi="Times New Roman"/>
          <w:sz w:val="28"/>
          <w:szCs w:val="28"/>
        </w:rPr>
        <w:t>72,31%, к плану за 9 месяцев100%.</w:t>
      </w:r>
    </w:p>
    <w:p w:rsidR="008761C9" w:rsidRDefault="008761C9" w:rsidP="00876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Безвозмездные поступления за 9 месяцев</w:t>
      </w:r>
      <w:r w:rsidRPr="00EA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EA3BAC">
        <w:rPr>
          <w:rFonts w:ascii="Times New Roman" w:hAnsi="Times New Roman"/>
          <w:sz w:val="28"/>
          <w:szCs w:val="28"/>
        </w:rPr>
        <w:t xml:space="preserve"> года включают следующие суммы:</w:t>
      </w:r>
    </w:p>
    <w:p w:rsidR="008761C9" w:rsidRPr="00EA3BAC" w:rsidRDefault="008761C9" w:rsidP="00876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-дотации бюджетам поселений на выравнивание бюджетной обеспеченности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оступление 1,30000тыс. рублей, что составляет 100% от годового плана.</w:t>
      </w:r>
    </w:p>
    <w:p w:rsidR="008761C9" w:rsidRPr="00EA3BAC" w:rsidRDefault="008761C9" w:rsidP="00876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BAC">
        <w:rPr>
          <w:rFonts w:ascii="Times New Roman" w:hAnsi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</w:t>
      </w:r>
      <w:r>
        <w:rPr>
          <w:rFonts w:ascii="Times New Roman" w:hAnsi="Times New Roman"/>
          <w:sz w:val="28"/>
          <w:szCs w:val="28"/>
        </w:rPr>
        <w:t>е комиссариаты – поступление 57,15000 тыс. рублей, или 75</w:t>
      </w:r>
      <w:r w:rsidRPr="00EA3BAC">
        <w:rPr>
          <w:rFonts w:ascii="Times New Roman" w:hAnsi="Times New Roman"/>
          <w:sz w:val="28"/>
          <w:szCs w:val="28"/>
        </w:rPr>
        <w:t>% от годового плана.</w:t>
      </w:r>
    </w:p>
    <w:p w:rsidR="008761C9" w:rsidRDefault="008761C9" w:rsidP="00876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5CBF">
        <w:rPr>
          <w:rFonts w:ascii="Times New Roman" w:hAnsi="Times New Roman"/>
          <w:sz w:val="28"/>
          <w:szCs w:val="28"/>
        </w:rPr>
        <w:t xml:space="preserve">- прочие безвозмездные поступления  из бюджета муниципального района – поступило </w:t>
      </w:r>
      <w:r>
        <w:rPr>
          <w:rFonts w:ascii="Times New Roman" w:hAnsi="Times New Roman"/>
          <w:sz w:val="28"/>
          <w:szCs w:val="28"/>
        </w:rPr>
        <w:t>2340,42383</w:t>
      </w:r>
      <w:r w:rsidRPr="00345CB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исполнение составило100% от плановых назначений на 9 месяцев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к годовому плану на 72,24%).</w:t>
      </w:r>
    </w:p>
    <w:p w:rsidR="008761C9" w:rsidRDefault="008761C9" w:rsidP="008761C9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ind w:left="-567" w:firstLine="708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</w:p>
    <w:p w:rsidR="008761C9" w:rsidRDefault="008761C9" w:rsidP="008761C9">
      <w:pPr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 за 9 месяцев 2017 года</w:t>
      </w:r>
    </w:p>
    <w:tbl>
      <w:tblPr>
        <w:tblW w:w="10080" w:type="dxa"/>
        <w:tblInd w:w="93" w:type="dxa"/>
        <w:tblLook w:val="04A0"/>
      </w:tblPr>
      <w:tblGrid>
        <w:gridCol w:w="3984"/>
        <w:gridCol w:w="1843"/>
        <w:gridCol w:w="1555"/>
        <w:gridCol w:w="1422"/>
        <w:gridCol w:w="1276"/>
      </w:tblGrid>
      <w:tr w:rsidR="008761C9" w:rsidRPr="00CF1BC3" w:rsidTr="00957D3D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61C9" w:rsidRPr="00CF1BC3" w:rsidTr="00957D3D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C9" w:rsidRPr="00CF1BC3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1C9" w:rsidRPr="00CF1BC3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 xml:space="preserve">Утвержденные </w:t>
            </w:r>
            <w:r w:rsidRPr="00CF1BC3">
              <w:rPr>
                <w:rFonts w:ascii="Times New Roman" w:hAnsi="Times New Roman"/>
                <w:sz w:val="24"/>
                <w:szCs w:val="24"/>
              </w:rPr>
              <w:br/>
              <w:t xml:space="preserve">бюджетные </w:t>
            </w:r>
            <w:r w:rsidRPr="00CF1BC3">
              <w:rPr>
                <w:rFonts w:ascii="Times New Roman" w:hAnsi="Times New Roman"/>
                <w:sz w:val="24"/>
                <w:szCs w:val="24"/>
              </w:rPr>
              <w:br/>
              <w:t>назначения на 2016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CF1BC3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Исполнено за 9 месяцев 2017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1C9" w:rsidRPr="00CF1BC3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CF1BC3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Удельный вес %</w:t>
            </w:r>
          </w:p>
        </w:tc>
      </w:tr>
      <w:tr w:rsidR="008761C9" w:rsidRPr="00CF1BC3" w:rsidTr="00957D3D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3908,13396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2589,80309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8761C9" w:rsidRPr="00CF1BC3" w:rsidTr="00957D3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61C9" w:rsidRPr="00CF1BC3" w:rsidTr="00957D3D">
        <w:trPr>
          <w:trHeight w:val="2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1683,05314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1262,57560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48,75</w:t>
            </w:r>
          </w:p>
        </w:tc>
      </w:tr>
      <w:tr w:rsidR="008761C9" w:rsidRPr="00CF1BC3" w:rsidTr="00957D3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76,20000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51,80676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</w:p>
        </w:tc>
      </w:tr>
      <w:tr w:rsidR="008761C9" w:rsidRPr="00CF1BC3" w:rsidTr="00957D3D">
        <w:trPr>
          <w:trHeight w:val="9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12,00000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761C9" w:rsidRPr="00CF1BC3" w:rsidTr="00957D3D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195,98600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146,96555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74,99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5,67</w:t>
            </w:r>
          </w:p>
        </w:tc>
      </w:tr>
      <w:tr w:rsidR="008761C9" w:rsidRPr="00CF1BC3" w:rsidTr="00957D3D">
        <w:trPr>
          <w:trHeight w:val="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1820,89482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1085,45537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59,61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41,91</w:t>
            </w:r>
          </w:p>
        </w:tc>
      </w:tr>
      <w:tr w:rsidR="008761C9" w:rsidRPr="00CF1BC3" w:rsidTr="00957D3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115,00000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42,99981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sz w:val="24"/>
                <w:szCs w:val="24"/>
              </w:rPr>
              <w:t>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BC3">
              <w:rPr>
                <w:rFonts w:ascii="Times New Roman" w:hAnsi="Times New Roman"/>
                <w:color w:val="000000"/>
                <w:sz w:val="24"/>
                <w:szCs w:val="24"/>
              </w:rPr>
              <w:t>1,66</w:t>
            </w:r>
          </w:p>
        </w:tc>
      </w:tr>
      <w:tr w:rsidR="008761C9" w:rsidRPr="00CF1BC3" w:rsidTr="00957D3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1BC3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5,000 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CF1BC3" w:rsidRDefault="008761C9" w:rsidP="00957D3D">
            <w:pPr>
              <w:spacing w:after="0" w:line="240" w:lineRule="auto"/>
              <w:rPr>
                <w:rFonts w:cs="Calibri"/>
                <w:color w:val="000000"/>
              </w:rPr>
            </w:pPr>
            <w:r w:rsidRPr="00CF1BC3">
              <w:rPr>
                <w:rFonts w:cs="Calibri"/>
                <w:color w:val="000000"/>
              </w:rPr>
              <w:t> </w:t>
            </w:r>
          </w:p>
        </w:tc>
      </w:tr>
    </w:tbl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2017 года наибольший удельный вес исполнения в разрезе разделов занимают расходы на: общегосударственные вопросы (48,75%), культура и </w:t>
      </w:r>
      <w:proofErr w:type="spellStart"/>
      <w:r>
        <w:rPr>
          <w:rFonts w:ascii="Times New Roman" w:hAnsi="Times New Roman"/>
          <w:sz w:val="28"/>
          <w:szCs w:val="28"/>
        </w:rPr>
        <w:t>кинемотография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(41,91%).  Исполнение расходной части бюджета за 9 месяцев 2017 года составило 66,27%.</w:t>
      </w:r>
    </w:p>
    <w:p w:rsidR="008761C9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Pr="00767743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01 «Общегосударственные вопросы»</w:t>
      </w:r>
    </w:p>
    <w:p w:rsidR="008761C9" w:rsidRPr="00767743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общие расходы планового назначения бюджета на 2017 год составили 1683,05314  тыс. рублей, фактическое исполнение за 9 месяцев  2017 года составило 1262,57560 тыс. рублей или 75,0  %  к годовому плану.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120 «Расходы на выплаты персоналу государственных (муниципальных) органов» за 9 месяцев  2017  года затраты составили 953,02439 тыс. рублей при годовом плане 1212,58492  тыс. рублей или 78,6 %. По данному виду расхода были проведены расходы на оплату труда  и на уплату взносов по обязательному социальному страхованию.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759">
        <w:rPr>
          <w:rFonts w:ascii="Times New Roman" w:hAnsi="Times New Roman"/>
          <w:sz w:val="28"/>
          <w:szCs w:val="28"/>
        </w:rPr>
        <w:t xml:space="preserve">По виду расхода 242 «Закупка товаров, работ, услуг в сфере информационно-коммуникационных технологий»  </w:t>
      </w:r>
      <w:r>
        <w:rPr>
          <w:rFonts w:ascii="Times New Roman" w:hAnsi="Times New Roman"/>
          <w:sz w:val="28"/>
          <w:szCs w:val="28"/>
        </w:rPr>
        <w:t xml:space="preserve">за 9 месяцев  </w:t>
      </w:r>
      <w:r w:rsidRPr="00E50759">
        <w:rPr>
          <w:rFonts w:ascii="Times New Roman" w:hAnsi="Times New Roman"/>
          <w:sz w:val="28"/>
          <w:szCs w:val="28"/>
        </w:rPr>
        <w:t xml:space="preserve">2017 года расходы составили </w:t>
      </w:r>
      <w:r>
        <w:rPr>
          <w:rFonts w:ascii="Times New Roman" w:hAnsi="Times New Roman"/>
          <w:sz w:val="28"/>
          <w:szCs w:val="28"/>
        </w:rPr>
        <w:t>19,05814</w:t>
      </w:r>
      <w:r w:rsidRPr="00E50759">
        <w:rPr>
          <w:rFonts w:ascii="Times New Roman" w:hAnsi="Times New Roman"/>
          <w:sz w:val="28"/>
          <w:szCs w:val="28"/>
        </w:rPr>
        <w:t xml:space="preserve"> тыс. рублей при годовом плане </w:t>
      </w:r>
      <w:r>
        <w:rPr>
          <w:rFonts w:ascii="Times New Roman" w:hAnsi="Times New Roman"/>
          <w:sz w:val="28"/>
          <w:szCs w:val="28"/>
        </w:rPr>
        <w:t>35,12518</w:t>
      </w:r>
      <w:r w:rsidRPr="00E50759">
        <w:rPr>
          <w:rFonts w:ascii="Times New Roman" w:hAnsi="Times New Roman"/>
          <w:sz w:val="28"/>
          <w:szCs w:val="28"/>
        </w:rPr>
        <w:t xml:space="preserve">  тыс. рублей или </w:t>
      </w:r>
      <w:r>
        <w:rPr>
          <w:rFonts w:ascii="Times New Roman" w:hAnsi="Times New Roman"/>
          <w:sz w:val="28"/>
          <w:szCs w:val="28"/>
        </w:rPr>
        <w:t>54,3</w:t>
      </w:r>
      <w:r w:rsidRPr="00E50759">
        <w:rPr>
          <w:rFonts w:ascii="Times New Roman" w:hAnsi="Times New Roman"/>
          <w:sz w:val="28"/>
          <w:szCs w:val="28"/>
        </w:rPr>
        <w:t xml:space="preserve"> %.  По данному виду расхода были проведены затраты на стационарную связь и интернет услуги.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244 «Прочая закупка товаров, работ и услуг для обеспечения государственных (муниципальных) нужд»  за 9 месяцев  2017 года расходы составили  128,88963 тыс. рублей при годовом плане 221,84304  тыс. рублей или </w:t>
      </w:r>
    </w:p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58,1 %.  Расходы проведены на оплату: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электроэнергии – 6,40827 тыс. рублей;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ГСМ – 82,40920 тыс. рублей;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запчасти – 12,268 тыс. руб.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краска, кисти – 1,455 тыс. руб.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 xml:space="preserve">- подарки на 9 мая - 2,120 тыс. руб. 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расчет НВОС – 6,000 тыс. руб.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ОСАГО – 4,66736 тыс. руб.</w:t>
      </w:r>
    </w:p>
    <w:p w:rsidR="008761C9" w:rsidRPr="002F2328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СМИ – 6,56180 тыс. руб.</w:t>
      </w:r>
    </w:p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2328">
        <w:rPr>
          <w:rFonts w:ascii="Times New Roman" w:hAnsi="Times New Roman"/>
          <w:sz w:val="28"/>
          <w:szCs w:val="28"/>
        </w:rPr>
        <w:t>- курсы повышения квалификации (44-ФЗ) – 5,000 тыс. руб.</w:t>
      </w:r>
    </w:p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компьютера – 2,000 тыс. руб.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виду расхода 850 «Уплата налогов, сборов и иных платежей»  за 9 месяцев  2017 года расходы составили  14,60344 тыс. рублей при годовом плане 20,500  тыс. рублей или 71,2 %.  Расходы проведены на оплату:</w:t>
      </w:r>
    </w:p>
    <w:p w:rsidR="008761C9" w:rsidRPr="00257F8A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земельного налога – </w:t>
      </w:r>
      <w:r>
        <w:rPr>
          <w:rFonts w:ascii="Times New Roman" w:hAnsi="Times New Roman"/>
          <w:sz w:val="28"/>
          <w:szCs w:val="28"/>
        </w:rPr>
        <w:t>8,444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8761C9" w:rsidRPr="00257F8A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налога на имущество </w:t>
      </w:r>
      <w:r>
        <w:rPr>
          <w:rFonts w:ascii="Times New Roman" w:hAnsi="Times New Roman"/>
          <w:sz w:val="28"/>
          <w:szCs w:val="28"/>
        </w:rPr>
        <w:t>2,025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7F8A">
        <w:rPr>
          <w:rFonts w:ascii="Times New Roman" w:hAnsi="Times New Roman"/>
          <w:sz w:val="28"/>
          <w:szCs w:val="28"/>
        </w:rPr>
        <w:t xml:space="preserve">- транспортного налога и НВОС– </w:t>
      </w:r>
      <w:r>
        <w:rPr>
          <w:rFonts w:ascii="Times New Roman" w:hAnsi="Times New Roman"/>
          <w:sz w:val="28"/>
          <w:szCs w:val="28"/>
        </w:rPr>
        <w:t>4,13444</w:t>
      </w:r>
      <w:r w:rsidRPr="00257F8A">
        <w:rPr>
          <w:rFonts w:ascii="Times New Roman" w:hAnsi="Times New Roman"/>
          <w:sz w:val="28"/>
          <w:szCs w:val="28"/>
        </w:rPr>
        <w:t xml:space="preserve"> тыс. рублей;</w:t>
      </w:r>
    </w:p>
    <w:p w:rsidR="008761C9" w:rsidRDefault="008761C9" w:rsidP="008761C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 расхода 540 «Иные межбюджетные трансферты»  плановые назначения на 2017 год составили 192,000 тыс. рублей, фактические</w:t>
      </w:r>
      <w:r w:rsidRPr="00E63EC1">
        <w:rPr>
          <w:rFonts w:ascii="Times New Roman" w:hAnsi="Times New Roman"/>
          <w:sz w:val="28"/>
          <w:szCs w:val="28"/>
        </w:rPr>
        <w:t xml:space="preserve"> </w:t>
      </w:r>
      <w:r w:rsidRPr="006D41EE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–147,000</w:t>
      </w:r>
      <w:r w:rsidRPr="006D41EE">
        <w:rPr>
          <w:rFonts w:ascii="Times New Roman" w:hAnsi="Times New Roman"/>
          <w:sz w:val="28"/>
          <w:szCs w:val="28"/>
        </w:rPr>
        <w:t xml:space="preserve"> тыс. рублей. Перечислены межбюджетные трансферты</w:t>
      </w:r>
      <w:r w:rsidRPr="00AB6A5B">
        <w:rPr>
          <w:rFonts w:ascii="Times New Roman" w:hAnsi="Times New Roman"/>
          <w:sz w:val="28"/>
          <w:szCs w:val="28"/>
        </w:rPr>
        <w:t xml:space="preserve"> </w:t>
      </w:r>
      <w:r w:rsidRPr="00E63EC1">
        <w:rPr>
          <w:rFonts w:ascii="Times New Roman" w:hAnsi="Times New Roman"/>
          <w:sz w:val="28"/>
          <w:szCs w:val="28"/>
        </w:rPr>
        <w:t xml:space="preserve"> на осуществление части полномочии по решению вопросов местного значения в соответствии с заключенными соглашениями.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виду расхода 870 «Резервные средства»  плановые назначения на 2017 год составили 1,000 тыс. рублей. </w:t>
      </w: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02 «Национальная оборона»</w:t>
      </w: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составляют 76,200 тыс. рублей, фактические расходы составили 51,80676 тыс. рублей или 68,0 % исполнения. Расходы проведены на  оплату труда и начисления специалиста ВУС.</w:t>
      </w:r>
    </w:p>
    <w:p w:rsidR="008761C9" w:rsidRDefault="008761C9" w:rsidP="008761C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03 «Национальная безопасность и правоохранительная деятельность»</w:t>
      </w:r>
    </w:p>
    <w:p w:rsidR="008761C9" w:rsidRDefault="008761C9" w:rsidP="008761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составили 12,000 тыс. рублей, фактические расходы не проводились. Денежные средства зарезервированы для обеспечения пожарной безопасности и выполнения функций в случае ЧС.</w:t>
      </w:r>
    </w:p>
    <w:p w:rsidR="008761C9" w:rsidRPr="00563E16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05 «Жилищно-коммунальное хозяйство»</w:t>
      </w:r>
    </w:p>
    <w:p w:rsidR="008761C9" w:rsidRPr="00B04848" w:rsidRDefault="008761C9" w:rsidP="008761C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761C9" w:rsidRPr="007933B5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разделу плановые назначения бюджета на 2017 год составляют 195,9860 тыс. рублей,  фактические расходы составили 146,96555 тыс. руб. или 75%. </w:t>
      </w:r>
      <w:r w:rsidRPr="007933B5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проведены</w:t>
      </w:r>
      <w:r w:rsidRPr="007933B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оплату</w:t>
      </w:r>
      <w:r w:rsidRPr="007933B5">
        <w:rPr>
          <w:rFonts w:ascii="Times New Roman" w:hAnsi="Times New Roman"/>
          <w:sz w:val="28"/>
          <w:szCs w:val="28"/>
        </w:rPr>
        <w:t>: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3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общественных работ – 7,14880 тыс. руб.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буртования санкционированных свалок  и  стройматериалов ТОС РБ  – 125 тыс. руб.</w:t>
      </w: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обработку кладбища – 4,81675 тыс. руб.</w:t>
      </w:r>
    </w:p>
    <w:p w:rsidR="008761C9" w:rsidRPr="00257F8A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лакокрасочных изделий – 10,000 тыс. руб.</w:t>
      </w:r>
    </w:p>
    <w:p w:rsidR="008761C9" w:rsidRPr="00E50759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08 «Культура и кинематография»</w:t>
      </w:r>
    </w:p>
    <w:p w:rsidR="008761C9" w:rsidRPr="00E50759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Pr="00B04848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произведены расходы согласно соглашению о передаче отдельных полномочий по решению вопросов местного значения в области «Культура». Плановые назначения на 2017 год составляют 1820,89482 тыс. рублей, за 9 месяцев  2017 года фактические расходы  составили 1085,45537 тыс. руб. или 59,6%.</w:t>
      </w: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10 «Социальная политика»</w:t>
      </w:r>
    </w:p>
    <w:p w:rsidR="008761C9" w:rsidRPr="00B04848" w:rsidRDefault="008761C9" w:rsidP="008761C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разделу плановые назначения на 2017 год составляют 115,000 тыс. рублей, фактические расходы на выплату муниципальной пенсии – 72,000 тыс. рублей или 37,4% исполнения.</w:t>
      </w:r>
    </w:p>
    <w:tbl>
      <w:tblPr>
        <w:tblW w:w="10221" w:type="dxa"/>
        <w:tblInd w:w="93" w:type="dxa"/>
        <w:tblLook w:val="04A0"/>
      </w:tblPr>
      <w:tblGrid>
        <w:gridCol w:w="3160"/>
        <w:gridCol w:w="1958"/>
        <w:gridCol w:w="1276"/>
        <w:gridCol w:w="1418"/>
        <w:gridCol w:w="1417"/>
        <w:gridCol w:w="992"/>
      </w:tblGrid>
      <w:tr w:rsidR="008761C9" w:rsidRPr="0039152B" w:rsidTr="00957D3D">
        <w:trPr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 xml:space="preserve">Темпы роста расходов за 9 месяцев 2016-2017гг. 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9 месяцев 2016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9 месяцев 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61C9" w:rsidRPr="0039152B" w:rsidTr="00957D3D">
        <w:trPr>
          <w:trHeight w:val="94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Исполнено</w:t>
            </w:r>
            <w:proofErr w:type="gramStart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152B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Темп роста, %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2932,80847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2589,80309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88,30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61C9" w:rsidRPr="0039152B" w:rsidTr="00957D3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1248,17873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1262,57560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101,15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41,36919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51,80676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125,23</w:t>
            </w:r>
          </w:p>
        </w:tc>
      </w:tr>
      <w:tr w:rsidR="008761C9" w:rsidRPr="0039152B" w:rsidTr="00957D3D">
        <w:trPr>
          <w:trHeight w:val="10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61C9" w:rsidRPr="0039152B" w:rsidTr="00957D3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40,11613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146,96555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366,35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1562,28939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53,27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1085,45537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69,48</w:t>
            </w:r>
          </w:p>
        </w:tc>
      </w:tr>
      <w:tr w:rsidR="008761C9" w:rsidRPr="0039152B" w:rsidTr="00957D3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40,85503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42,99981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105,25</w:t>
            </w:r>
          </w:p>
        </w:tc>
      </w:tr>
      <w:tr w:rsidR="008761C9" w:rsidRPr="0039152B" w:rsidTr="00957D3D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52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1C9" w:rsidRPr="0039152B" w:rsidRDefault="008761C9" w:rsidP="00957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5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761C9" w:rsidRDefault="008761C9" w:rsidP="008761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61C9" w:rsidRPr="00F53D98" w:rsidRDefault="008761C9" w:rsidP="008761C9">
      <w:pPr>
        <w:spacing w:after="0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средств бюджета на 01.10.2017 г.</w:t>
      </w:r>
    </w:p>
    <w:p w:rsidR="008761C9" w:rsidRDefault="008761C9" w:rsidP="008761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6"/>
        <w:gridCol w:w="1585"/>
      </w:tblGrid>
      <w:tr w:rsidR="008761C9" w:rsidTr="00957D3D">
        <w:trPr>
          <w:trHeight w:val="15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Default="008761C9" w:rsidP="0095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субсидии (субвенции)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Default="008761C9" w:rsidP="00957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761C9" w:rsidTr="00957D3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304873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3">
              <w:rPr>
                <w:rFonts w:ascii="Times New Roman" w:hAnsi="Times New Roman"/>
                <w:sz w:val="28"/>
                <w:szCs w:val="28"/>
              </w:rPr>
              <w:t>Остатки средств бюджета 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304873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82,02369</w:t>
            </w:r>
          </w:p>
        </w:tc>
      </w:tr>
      <w:tr w:rsidR="008761C9" w:rsidTr="00957D3D">
        <w:trPr>
          <w:trHeight w:val="19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7419" w:type="dxa"/>
              <w:tblCellMar>
                <w:left w:w="40" w:type="dxa"/>
                <w:right w:w="0" w:type="dxa"/>
              </w:tblCellMar>
              <w:tblLook w:val="04A0"/>
            </w:tblPr>
            <w:tblGrid>
              <w:gridCol w:w="7359"/>
              <w:gridCol w:w="60"/>
            </w:tblGrid>
            <w:tr w:rsidR="008761C9" w:rsidRPr="00FC365A" w:rsidTr="00957D3D">
              <w:trPr>
                <w:trHeight w:val="480"/>
              </w:trPr>
              <w:tc>
                <w:tcPr>
                  <w:tcW w:w="7359" w:type="dxa"/>
                  <w:vAlign w:val="bottom"/>
                  <w:hideMark/>
                </w:tcPr>
                <w:p w:rsidR="008761C9" w:rsidRPr="00FC365A" w:rsidRDefault="008761C9" w:rsidP="00957D3D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65A">
                    <w:rPr>
                      <w:rFonts w:ascii="Times New Roman" w:hAnsi="Times New Roman"/>
                      <w:sz w:val="28"/>
                      <w:szCs w:val="28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8761C9" w:rsidRPr="00FC365A" w:rsidRDefault="008761C9" w:rsidP="00957D3D">
                  <w:pPr>
                    <w:spacing w:after="0" w:line="240" w:lineRule="auto"/>
                  </w:pPr>
                </w:p>
              </w:tc>
            </w:tr>
          </w:tbl>
          <w:p w:rsidR="008761C9" w:rsidRPr="00FC365A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FC365A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5,34324</w:t>
            </w:r>
          </w:p>
        </w:tc>
      </w:tr>
      <w:tr w:rsidR="008761C9" w:rsidTr="00957D3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F43AB8" w:rsidRDefault="008761C9" w:rsidP="00957D3D">
            <w:pPr>
              <w:spacing w:after="0" w:line="240" w:lineRule="auto"/>
              <w:rPr>
                <w:vanish/>
                <w:sz w:val="28"/>
                <w:szCs w:val="28"/>
              </w:rPr>
            </w:pPr>
            <w:r w:rsidRPr="00F43AB8">
              <w:rPr>
                <w:rFonts w:ascii="Times New Roman" w:hAnsi="Times New Roman"/>
                <w:sz w:val="28"/>
                <w:szCs w:val="2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40,000</w:t>
            </w:r>
          </w:p>
        </w:tc>
      </w:tr>
      <w:tr w:rsidR="008761C9" w:rsidTr="00957D3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F43AB8" w:rsidRDefault="008761C9" w:rsidP="00957D3D">
            <w:pPr>
              <w:spacing w:after="0" w:line="240" w:lineRule="auto"/>
              <w:rPr>
                <w:vanish/>
                <w:sz w:val="28"/>
                <w:szCs w:val="28"/>
              </w:rPr>
            </w:pPr>
            <w:r w:rsidRPr="00F43AB8">
              <w:rPr>
                <w:rFonts w:ascii="Times New Roman" w:hAnsi="Times New Roman"/>
                <w:sz w:val="28"/>
                <w:szCs w:val="28"/>
              </w:rPr>
              <w:lastRenderedPageBreak/>
              <w:t>Районный конкурс "Лучшее территориальное общественное самоуправление"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8761C9" w:rsidTr="00957D3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FC365A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65A">
              <w:rPr>
                <w:rFonts w:ascii="Times New Roman" w:hAnsi="Times New Roman"/>
                <w:sz w:val="28"/>
                <w:szCs w:val="28"/>
              </w:rPr>
              <w:t xml:space="preserve">Итого целевых средств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FC365A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55,34324</w:t>
            </w:r>
          </w:p>
        </w:tc>
      </w:tr>
      <w:tr w:rsidR="008761C9" w:rsidTr="00957D3D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304873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873">
              <w:rPr>
                <w:rFonts w:ascii="Times New Roman" w:hAnsi="Times New Roman"/>
                <w:sz w:val="28"/>
                <w:szCs w:val="28"/>
              </w:rPr>
              <w:t>Остатки средств на счетах (за исключением целевых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1C9" w:rsidRPr="00304873" w:rsidRDefault="008761C9" w:rsidP="00957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26,68045</w:t>
            </w:r>
          </w:p>
        </w:tc>
      </w:tr>
    </w:tbl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tabs>
          <w:tab w:val="left" w:pos="29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761C9" w:rsidRPr="00C06D65" w:rsidRDefault="008761C9" w:rsidP="008761C9">
      <w:pPr>
        <w:tabs>
          <w:tab w:val="left" w:pos="29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06D65">
        <w:rPr>
          <w:rFonts w:ascii="Times New Roman" w:hAnsi="Times New Roman"/>
          <w:sz w:val="28"/>
          <w:szCs w:val="28"/>
        </w:rPr>
        <w:t>Информация о финансировании расходов из резервного фонда А</w:t>
      </w:r>
      <w:r>
        <w:rPr>
          <w:rFonts w:ascii="Times New Roman" w:hAnsi="Times New Roman"/>
          <w:sz w:val="28"/>
          <w:szCs w:val="28"/>
        </w:rPr>
        <w:t>дминистрации МО СП «Алтайское» за 9 месяцев</w:t>
      </w:r>
      <w:r w:rsidRPr="00C06D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06D65">
        <w:rPr>
          <w:rFonts w:ascii="Times New Roman" w:hAnsi="Times New Roman"/>
          <w:sz w:val="28"/>
          <w:szCs w:val="28"/>
        </w:rPr>
        <w:t xml:space="preserve"> г.</w:t>
      </w:r>
    </w:p>
    <w:p w:rsidR="008761C9" w:rsidRPr="00AC39E0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Pr="00AC39E0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Pr="00AC39E0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Pr="00AC39E0" w:rsidRDefault="008761C9" w:rsidP="008761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Кассовые расходы</w:t>
      </w:r>
      <w:r w:rsidRPr="00AC39E0">
        <w:rPr>
          <w:rFonts w:ascii="Times New Roman" w:hAnsi="Times New Roman"/>
          <w:sz w:val="28"/>
          <w:szCs w:val="28"/>
        </w:rPr>
        <w:t xml:space="preserve"> из резервного фонда Администрации МО СП «Алтайское» </w:t>
      </w:r>
      <w:r>
        <w:rPr>
          <w:rFonts w:ascii="Times New Roman" w:hAnsi="Times New Roman"/>
          <w:sz w:val="28"/>
          <w:szCs w:val="28"/>
        </w:rPr>
        <w:t>за 9 месяцев</w:t>
      </w:r>
      <w:r w:rsidRPr="00AC3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Pr="00AC39E0">
        <w:rPr>
          <w:rFonts w:ascii="Times New Roman" w:hAnsi="Times New Roman"/>
          <w:sz w:val="28"/>
          <w:szCs w:val="28"/>
        </w:rPr>
        <w:t xml:space="preserve"> года не проводилось.</w:t>
      </w:r>
    </w:p>
    <w:p w:rsidR="008761C9" w:rsidRPr="00AC39E0" w:rsidRDefault="008761C9" w:rsidP="008761C9">
      <w:pPr>
        <w:rPr>
          <w:rFonts w:ascii="Times New Roman" w:hAnsi="Times New Roman"/>
          <w:sz w:val="28"/>
          <w:szCs w:val="28"/>
        </w:rPr>
      </w:pPr>
      <w:r w:rsidRPr="00AC39E0">
        <w:rPr>
          <w:rFonts w:ascii="Times New Roman" w:hAnsi="Times New Roman"/>
          <w:sz w:val="28"/>
          <w:szCs w:val="28"/>
        </w:rPr>
        <w:t xml:space="preserve">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Ж.Н.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Буянтуев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761C9" w:rsidRDefault="008761C9" w:rsidP="008761C9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бюджетного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Х.И.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Рампилова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761C9" w:rsidRDefault="008761C9" w:rsidP="008761C9">
      <w:pPr>
        <w:pStyle w:val="ConsPlusNonforma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отдела бюджетного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анализа                       ___________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П.Н.Гуськова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761C9" w:rsidRDefault="008761C9" w:rsidP="008761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___________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Ц.В.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Жамьянова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61C9" w:rsidRDefault="008761C9" w:rsidP="008761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                 (расшифровка подписи)</w:t>
      </w:r>
    </w:p>
    <w:p w:rsidR="008761C9" w:rsidRDefault="008761C9" w:rsidP="008761C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8761C9" w:rsidRDefault="008761C9" w:rsidP="008761C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2017 г.</w:t>
      </w:r>
    </w:p>
    <w:p w:rsidR="008761C9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rPr>
          <w:rFonts w:ascii="Times New Roman" w:hAnsi="Times New Roman"/>
          <w:sz w:val="28"/>
          <w:szCs w:val="28"/>
        </w:rPr>
      </w:pPr>
    </w:p>
    <w:tbl>
      <w:tblPr>
        <w:tblW w:w="13820" w:type="dxa"/>
        <w:tblInd w:w="93" w:type="dxa"/>
        <w:tblLook w:val="04A0"/>
      </w:tblPr>
      <w:tblGrid>
        <w:gridCol w:w="3984"/>
        <w:gridCol w:w="896"/>
        <w:gridCol w:w="238"/>
        <w:gridCol w:w="982"/>
        <w:gridCol w:w="578"/>
        <w:gridCol w:w="1324"/>
        <w:gridCol w:w="298"/>
        <w:gridCol w:w="1840"/>
        <w:gridCol w:w="1840"/>
        <w:gridCol w:w="1840"/>
      </w:tblGrid>
      <w:tr w:rsidR="008761C9" w:rsidRPr="00563E16" w:rsidTr="00957D3D">
        <w:trPr>
          <w:trHeight w:val="282"/>
        </w:trPr>
        <w:tc>
          <w:tcPr>
            <w:tcW w:w="11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E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1C9" w:rsidRPr="00563E16" w:rsidTr="00957D3D">
        <w:trPr>
          <w:trHeight w:val="31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52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 "Алтайское"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8761C9" w:rsidRPr="00563E16" w:rsidTr="00957D3D">
        <w:trPr>
          <w:trHeight w:val="31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5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81633405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1C9" w:rsidRPr="00563E16" w:rsidTr="00957D3D">
        <w:trPr>
          <w:trHeight w:val="282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761C9" w:rsidRPr="00563E16" w:rsidTr="00957D3D">
        <w:trPr>
          <w:trHeight w:val="282"/>
        </w:trPr>
        <w:tc>
          <w:tcPr>
            <w:tcW w:w="138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8761C9" w:rsidRPr="00563E16" w:rsidTr="00957D3D">
        <w:trPr>
          <w:trHeight w:val="25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397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761C9" w:rsidRPr="00563E16" w:rsidTr="00957D3D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1C9" w:rsidRPr="00563E16" w:rsidTr="00957D3D">
        <w:trPr>
          <w:trHeight w:val="28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761C9" w:rsidRPr="00563E16" w:rsidTr="00957D3D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761C9" w:rsidRPr="00563E16" w:rsidTr="00957D3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3 740 580,82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2 504 359,14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1 236 221,68</w:t>
            </w:r>
          </w:p>
        </w:tc>
      </w:tr>
      <w:tr w:rsidR="008761C9" w:rsidRPr="00563E16" w:rsidTr="00957D3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61C9" w:rsidRPr="00563E16" w:rsidTr="00957D3D">
        <w:trPr>
          <w:trHeight w:val="18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16 490,19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8 709,81</w:t>
            </w:r>
          </w:p>
        </w:tc>
      </w:tr>
      <w:tr w:rsidR="008761C9" w:rsidRPr="00563E16" w:rsidTr="00957D3D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14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169,73</w:t>
            </w:r>
          </w:p>
        </w:tc>
      </w:tr>
      <w:tr w:rsidR="008761C9" w:rsidRPr="00563E16" w:rsidTr="00957D3D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46 900,00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707,19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46 192,81</w:t>
            </w:r>
          </w:p>
        </w:tc>
      </w:tr>
      <w:tr w:rsidR="008761C9" w:rsidRPr="00563E16" w:rsidTr="00957D3D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46 511,00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35 689,00</w:t>
            </w:r>
          </w:p>
        </w:tc>
      </w:tr>
      <w:tr w:rsidR="008761C9" w:rsidRPr="00563E16" w:rsidTr="00957D3D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000 1 06 06033 10 4000 110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264 500,00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29 561,16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234 938,84</w:t>
            </w:r>
          </w:p>
        </w:tc>
      </w:tr>
      <w:tr w:rsidR="008761C9" w:rsidRPr="00563E16" w:rsidTr="00957D3D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4 363,10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761C9" w:rsidRPr="00563E16" w:rsidTr="00957D3D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19 050,00</w:t>
            </w:r>
          </w:p>
        </w:tc>
      </w:tr>
      <w:tr w:rsidR="008761C9" w:rsidRPr="00563E16" w:rsidTr="00957D3D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000 2 02 90054 10 0000 151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3 239 980,82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2 340 423,83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1C9" w:rsidRPr="00563E16" w:rsidRDefault="008761C9" w:rsidP="00957D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63E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899 556,99</w:t>
            </w:r>
          </w:p>
        </w:tc>
      </w:tr>
    </w:tbl>
    <w:p w:rsidR="008761C9" w:rsidRDefault="008761C9" w:rsidP="008761C9">
      <w:pPr>
        <w:rPr>
          <w:rFonts w:ascii="Times New Roman" w:hAnsi="Times New Roman"/>
          <w:sz w:val="28"/>
          <w:szCs w:val="28"/>
        </w:rPr>
      </w:pPr>
    </w:p>
    <w:p w:rsidR="008761C9" w:rsidRDefault="008761C9" w:rsidP="008761C9">
      <w:pPr>
        <w:rPr>
          <w:rFonts w:ascii="Times New Roman" w:hAnsi="Times New Roman"/>
          <w:sz w:val="28"/>
          <w:szCs w:val="28"/>
        </w:rPr>
      </w:pPr>
    </w:p>
    <w:p w:rsidR="004B6F24" w:rsidRDefault="004B6F24"/>
    <w:sectPr w:rsidR="004B6F24" w:rsidSect="004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E3"/>
    <w:multiLevelType w:val="hybridMultilevel"/>
    <w:tmpl w:val="168EC060"/>
    <w:lvl w:ilvl="0" w:tplc="C9CC12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170F"/>
    <w:multiLevelType w:val="multilevel"/>
    <w:tmpl w:val="CED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">
    <w:nsid w:val="041D709C"/>
    <w:multiLevelType w:val="multilevel"/>
    <w:tmpl w:val="35684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9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0B974B6E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915F9"/>
    <w:multiLevelType w:val="hybridMultilevel"/>
    <w:tmpl w:val="41BE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6202C"/>
    <w:multiLevelType w:val="hybridMultilevel"/>
    <w:tmpl w:val="A3649B64"/>
    <w:lvl w:ilvl="0" w:tplc="44CA77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62AC8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D0BF2"/>
    <w:multiLevelType w:val="hybridMultilevel"/>
    <w:tmpl w:val="ED7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78EB"/>
    <w:multiLevelType w:val="hybridMultilevel"/>
    <w:tmpl w:val="52C4A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1BBE"/>
    <w:multiLevelType w:val="hybridMultilevel"/>
    <w:tmpl w:val="964C4BF2"/>
    <w:lvl w:ilvl="0" w:tplc="7CCAEFF2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1A7C9D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D558D"/>
    <w:multiLevelType w:val="hybridMultilevel"/>
    <w:tmpl w:val="FCC80F88"/>
    <w:lvl w:ilvl="0" w:tplc="FBEE6D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09940F4"/>
    <w:multiLevelType w:val="hybridMultilevel"/>
    <w:tmpl w:val="4D1474D4"/>
    <w:lvl w:ilvl="0" w:tplc="0BA0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D356CE"/>
    <w:multiLevelType w:val="hybridMultilevel"/>
    <w:tmpl w:val="62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85422"/>
    <w:multiLevelType w:val="hybridMultilevel"/>
    <w:tmpl w:val="EC029A0E"/>
    <w:lvl w:ilvl="0" w:tplc="40BA69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585C89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952A5"/>
    <w:multiLevelType w:val="hybridMultilevel"/>
    <w:tmpl w:val="E640D29A"/>
    <w:lvl w:ilvl="0" w:tplc="AE9E6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6A8E"/>
    <w:multiLevelType w:val="hybridMultilevel"/>
    <w:tmpl w:val="54C0D546"/>
    <w:lvl w:ilvl="0" w:tplc="41687E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22D6EDE"/>
    <w:multiLevelType w:val="multilevel"/>
    <w:tmpl w:val="2140E816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0">
    <w:nsid w:val="42A7420A"/>
    <w:multiLevelType w:val="hybridMultilevel"/>
    <w:tmpl w:val="20CE02E2"/>
    <w:lvl w:ilvl="0" w:tplc="8E920B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CF7988"/>
    <w:multiLevelType w:val="hybridMultilevel"/>
    <w:tmpl w:val="CC5EC98E"/>
    <w:lvl w:ilvl="0" w:tplc="85465C7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76E5EB5"/>
    <w:multiLevelType w:val="hybridMultilevel"/>
    <w:tmpl w:val="A568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D54DD"/>
    <w:multiLevelType w:val="hybridMultilevel"/>
    <w:tmpl w:val="C77E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C7206"/>
    <w:multiLevelType w:val="multilevel"/>
    <w:tmpl w:val="3A5A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12136"/>
    <w:multiLevelType w:val="hybridMultilevel"/>
    <w:tmpl w:val="4CA85B3C"/>
    <w:lvl w:ilvl="0" w:tplc="D06C6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71F6B76"/>
    <w:multiLevelType w:val="hybridMultilevel"/>
    <w:tmpl w:val="A1D61C8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0">
    <w:nsid w:val="6ABD1534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D1261"/>
    <w:multiLevelType w:val="hybridMultilevel"/>
    <w:tmpl w:val="10F28436"/>
    <w:lvl w:ilvl="0" w:tplc="9F6C70F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874AE"/>
    <w:multiLevelType w:val="hybridMultilevel"/>
    <w:tmpl w:val="DC88EBA6"/>
    <w:lvl w:ilvl="0" w:tplc="F86E33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95417"/>
    <w:multiLevelType w:val="hybridMultilevel"/>
    <w:tmpl w:val="B3509F56"/>
    <w:lvl w:ilvl="0" w:tplc="1B747512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>
    <w:nsid w:val="72A91C94"/>
    <w:multiLevelType w:val="hybridMultilevel"/>
    <w:tmpl w:val="AD52B684"/>
    <w:lvl w:ilvl="0" w:tplc="1384F6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52323EA"/>
    <w:multiLevelType w:val="hybridMultilevel"/>
    <w:tmpl w:val="54C0D546"/>
    <w:lvl w:ilvl="0" w:tplc="41687E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>
    <w:nsid w:val="77250602"/>
    <w:multiLevelType w:val="hybridMultilevel"/>
    <w:tmpl w:val="5AC4799E"/>
    <w:lvl w:ilvl="0" w:tplc="000C2F1A">
      <w:start w:val="1"/>
      <w:numFmt w:val="decimal"/>
      <w:lvlText w:val="%1."/>
      <w:lvlJc w:val="left"/>
      <w:pPr>
        <w:ind w:left="8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851D2"/>
    <w:multiLevelType w:val="hybridMultilevel"/>
    <w:tmpl w:val="6C8E1F5C"/>
    <w:lvl w:ilvl="0" w:tplc="739208C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</w:num>
  <w:num w:numId="8">
    <w:abstractNumId w:val="3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1"/>
  </w:num>
  <w:num w:numId="12">
    <w:abstractNumId w:val="34"/>
  </w:num>
  <w:num w:numId="13">
    <w:abstractNumId w:val="29"/>
  </w:num>
  <w:num w:numId="14">
    <w:abstractNumId w:val="14"/>
  </w:num>
  <w:num w:numId="15">
    <w:abstractNumId w:val="4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1"/>
  </w:num>
  <w:num w:numId="26">
    <w:abstractNumId w:val="25"/>
  </w:num>
  <w:num w:numId="27">
    <w:abstractNumId w:val="19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  <w:num w:numId="34">
    <w:abstractNumId w:val="22"/>
  </w:num>
  <w:num w:numId="35">
    <w:abstractNumId w:val="11"/>
  </w:num>
  <w:num w:numId="36">
    <w:abstractNumId w:val="30"/>
  </w:num>
  <w:num w:numId="37">
    <w:abstractNumId w:val="0"/>
  </w:num>
  <w:num w:numId="38">
    <w:abstractNumId w:val="3"/>
  </w:num>
  <w:num w:numId="39">
    <w:abstractNumId w:val="7"/>
  </w:num>
  <w:num w:numId="40">
    <w:abstractNumId w:val="26"/>
  </w:num>
  <w:num w:numId="41">
    <w:abstractNumId w:val="12"/>
  </w:num>
  <w:num w:numId="42">
    <w:abstractNumId w:val="10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C9"/>
    <w:rsid w:val="004B6F24"/>
    <w:rsid w:val="0087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9"/>
  </w:style>
  <w:style w:type="paragraph" w:styleId="1">
    <w:name w:val="heading 1"/>
    <w:basedOn w:val="a"/>
    <w:link w:val="10"/>
    <w:uiPriority w:val="9"/>
    <w:qFormat/>
    <w:rsid w:val="0087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6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76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1C9"/>
    <w:rPr>
      <w:color w:val="0000FF"/>
      <w:u w:val="single"/>
    </w:rPr>
  </w:style>
  <w:style w:type="paragraph" w:customStyle="1" w:styleId="p1">
    <w:name w:val="p1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61C9"/>
  </w:style>
  <w:style w:type="paragraph" w:customStyle="1" w:styleId="p2">
    <w:name w:val="p2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761C9"/>
  </w:style>
  <w:style w:type="paragraph" w:customStyle="1" w:styleId="p7">
    <w:name w:val="p7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61C9"/>
  </w:style>
  <w:style w:type="paragraph" w:customStyle="1" w:styleId="p9">
    <w:name w:val="p9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1C9"/>
  </w:style>
  <w:style w:type="paragraph" w:customStyle="1" w:styleId="p11">
    <w:name w:val="p11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61C9"/>
  </w:style>
  <w:style w:type="character" w:customStyle="1" w:styleId="s5">
    <w:name w:val="s5"/>
    <w:basedOn w:val="a0"/>
    <w:rsid w:val="008761C9"/>
  </w:style>
  <w:style w:type="paragraph" w:customStyle="1" w:styleId="p28">
    <w:name w:val="p28"/>
    <w:basedOn w:val="a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61C9"/>
    <w:rPr>
      <w:i/>
      <w:iCs/>
    </w:rPr>
  </w:style>
  <w:style w:type="paragraph" w:customStyle="1" w:styleId="ConsPlusNormal">
    <w:name w:val="ConsPlusNormal"/>
    <w:rsid w:val="008761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761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76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761C9"/>
    <w:rPr>
      <w:color w:val="008000"/>
    </w:rPr>
  </w:style>
  <w:style w:type="character" w:customStyle="1" w:styleId="a7">
    <w:name w:val="Цветовое выделение"/>
    <w:uiPriority w:val="99"/>
    <w:rsid w:val="008761C9"/>
    <w:rPr>
      <w:b/>
      <w:bCs/>
      <w:color w:val="000080"/>
    </w:rPr>
  </w:style>
  <w:style w:type="table" w:styleId="a8">
    <w:name w:val="Table Grid"/>
    <w:basedOn w:val="a1"/>
    <w:uiPriority w:val="59"/>
    <w:rsid w:val="0087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бпОсновной текст,Body Text Char"/>
    <w:basedOn w:val="a"/>
    <w:link w:val="aa"/>
    <w:rsid w:val="008761C9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rsid w:val="00876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761C9"/>
    <w:pPr>
      <w:spacing w:after="120" w:line="48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76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b">
    <w:name w:val="Заголовок"/>
    <w:basedOn w:val="a"/>
    <w:next w:val="a9"/>
    <w:rsid w:val="008761C9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Heading">
    <w:name w:val="Heading"/>
    <w:rsid w:val="00876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87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8761C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61C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876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761C9"/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8761C9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j">
    <w:name w:val="_aj"/>
    <w:basedOn w:val="a"/>
    <w:uiPriority w:val="99"/>
    <w:rsid w:val="0087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8761C9"/>
    <w:pPr>
      <w:spacing w:after="0" w:line="240" w:lineRule="auto"/>
    </w:pPr>
  </w:style>
  <w:style w:type="paragraph" w:customStyle="1" w:styleId="12">
    <w:name w:val="Обычный1"/>
    <w:rsid w:val="008761C9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761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761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2781</Words>
  <Characters>15858</Characters>
  <Application>Microsoft Office Word</Application>
  <DocSecurity>0</DocSecurity>
  <Lines>132</Lines>
  <Paragraphs>37</Paragraphs>
  <ScaleCrop>false</ScaleCrop>
  <Company>Home</Company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2018-02-07T08:39:00Z</dcterms:created>
  <dcterms:modified xsi:type="dcterms:W3CDTF">2018-02-07T08:40:00Z</dcterms:modified>
</cp:coreProperties>
</file>