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59" w:rsidRDefault="00522A59" w:rsidP="00522A5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2A59" w:rsidRPr="00C53F36" w:rsidRDefault="00522A59" w:rsidP="00522A5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522A59" w:rsidRPr="00C53F36" w:rsidRDefault="00522A59" w:rsidP="00522A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522A59" w:rsidRPr="00C53F36" w:rsidRDefault="00522A59" w:rsidP="00522A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522A59" w:rsidRPr="00C53F36" w:rsidRDefault="00522A59" w:rsidP="00522A59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A59" w:rsidRPr="00C53F36" w:rsidRDefault="007F051C" w:rsidP="00522A59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</w:t>
      </w:r>
      <w:r w:rsidR="00522A59" w:rsidRPr="00C5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522A59" w:rsidRPr="00C53F36" w:rsidRDefault="00522A59" w:rsidP="00522A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59" w:rsidRPr="00C53F36" w:rsidRDefault="00522A59" w:rsidP="00522A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у.Усть-Дунгуй</w:t>
      </w:r>
      <w:proofErr w:type="spellEnd"/>
    </w:p>
    <w:p w:rsidR="00522A59" w:rsidRDefault="00522A59" w:rsidP="00522A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2A59" w:rsidRDefault="00522A59" w:rsidP="00522A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2A59" w:rsidRPr="00CE29D4" w:rsidRDefault="00522A59" w:rsidP="00522A59">
      <w:pPr>
        <w:tabs>
          <w:tab w:val="left" w:pos="763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b/>
          <w:bCs/>
          <w:sz w:val="24"/>
          <w:szCs w:val="24"/>
        </w:rPr>
        <w:t>Об  утверждении Положения о порядке принятия решений о разработке муниципальных программ муниципального образования сельское поселение «Алтайское», их формировании и реализации</w:t>
      </w:r>
      <w:r w:rsidRPr="00CE29D4">
        <w:rPr>
          <w:rFonts w:ascii="Times New Roman" w:hAnsi="Times New Roman" w:cs="Times New Roman"/>
          <w:sz w:val="24"/>
          <w:szCs w:val="24"/>
        </w:rPr>
        <w:tab/>
      </w:r>
    </w:p>
    <w:p w:rsidR="00522A59" w:rsidRPr="00CE29D4" w:rsidRDefault="00522A59" w:rsidP="00522A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A59" w:rsidRPr="00CE29D4" w:rsidRDefault="00522A59" w:rsidP="00522A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ab/>
        <w:t>В целях реализации статьи 179 Бюджетного кодекса Российской Федерации Администрация муниципального образования сельское поселение «Алтайское» ПОСТАНОВЛЯЕТ:</w:t>
      </w:r>
    </w:p>
    <w:p w:rsidR="00522A59" w:rsidRPr="00CE29D4" w:rsidRDefault="00522A59" w:rsidP="00522A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1.Принять «Положения о порядке принятия решений о разработке муниципальных программ муниципального образования сельское поселение «Алтайское», их формировании и реализации».</w:t>
      </w:r>
    </w:p>
    <w:p w:rsidR="00522A59" w:rsidRPr="00CE29D4" w:rsidRDefault="00522A59" w:rsidP="00522A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2. Специалисту Администрации МО СП  «Алтайское» </w:t>
      </w:r>
      <w:proofErr w:type="gramStart"/>
      <w:r w:rsidRPr="00CE29D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E29D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странице МО «Алтайское» официального сайта МО «</w:t>
      </w:r>
      <w:proofErr w:type="spellStart"/>
      <w:r w:rsidRPr="00CE29D4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CE29D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22A59" w:rsidRPr="00CE29D4" w:rsidRDefault="00522A59" w:rsidP="00522A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3. Контроль над исполнением настоящего постановления возлагаю на себя.</w:t>
      </w:r>
    </w:p>
    <w:p w:rsidR="00522A59" w:rsidRPr="00CE29D4" w:rsidRDefault="00522A59" w:rsidP="00522A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522A59" w:rsidRPr="00CE29D4" w:rsidRDefault="00522A59" w:rsidP="00522A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2A59" w:rsidRPr="00CE29D4" w:rsidRDefault="00522A59" w:rsidP="00522A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A59" w:rsidRPr="00CE29D4" w:rsidRDefault="00522A59" w:rsidP="00522A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A59" w:rsidRDefault="00522A59" w:rsidP="00522A59"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МО СП «Алтайское»                                                                            Л.Н.Гомбоева</w:t>
      </w:r>
    </w:p>
    <w:p w:rsidR="00522A59" w:rsidRPr="00CE29D4" w:rsidRDefault="00522A59" w:rsidP="00522A59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22A59" w:rsidRPr="00CE29D4" w:rsidRDefault="00522A59" w:rsidP="00522A59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22A59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22A59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22A59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22A59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22A59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22A59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22A59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22A59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22A59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22A59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22A59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22A59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22A59" w:rsidRPr="00CE29D4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522A59" w:rsidRPr="00CE29D4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МО «Алтайское» </w:t>
      </w:r>
    </w:p>
    <w:p w:rsidR="00522A59" w:rsidRPr="00CE29D4" w:rsidRDefault="00522A59" w:rsidP="00522A59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Pr="00CE29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CE29D4"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22A59" w:rsidRPr="00CE29D4" w:rsidRDefault="00522A59" w:rsidP="00522A5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2A59" w:rsidRPr="00CE29D4" w:rsidRDefault="00522A59" w:rsidP="00522A5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22A59" w:rsidRPr="00CE29D4" w:rsidRDefault="00522A59" w:rsidP="00522A59">
      <w:pPr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D4">
        <w:rPr>
          <w:rFonts w:ascii="Times New Roman" w:hAnsi="Times New Roman" w:cs="Times New Roman"/>
          <w:b/>
          <w:sz w:val="24"/>
          <w:szCs w:val="24"/>
        </w:rPr>
        <w:t>Положения о порядке принятия решений о разработке муниципальных программ муниципального образования сельское поселение «Алтайское», их формировании и реализации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Настоящий Порядок определяет правила принятия решений о разработке, формировании и сроках реализации муниципальных программ муниципального образования сельское поселение «Алтайское» (далее – сельское поселение, Порядок).</w:t>
      </w:r>
    </w:p>
    <w:p w:rsidR="00522A59" w:rsidRPr="00F24DCA" w:rsidRDefault="00522A59" w:rsidP="00522A59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DCA">
        <w:rPr>
          <w:rFonts w:ascii="Times New Roman" w:hAnsi="Times New Roman" w:cs="Times New Roman"/>
          <w:b/>
          <w:sz w:val="24"/>
          <w:szCs w:val="24"/>
        </w:rPr>
        <w:t>Основные понятия и термины</w:t>
      </w:r>
    </w:p>
    <w:p w:rsidR="00522A59" w:rsidRPr="00CE29D4" w:rsidRDefault="00522A59" w:rsidP="00522A59">
      <w:pPr>
        <w:tabs>
          <w:tab w:val="left" w:pos="5385"/>
        </w:tabs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ab/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1.1. В настоящем Порядке используются следующие понятия и термины: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 муниципальная программа сельского поселения (далее муниципальная программа) —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срок один год и более, и обеспечивающих эффективное решение задач в области муниципальной политики в установленных сферах деятельности;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подпрограмма —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CE29D4">
        <w:rPr>
          <w:rFonts w:ascii="Times New Roman" w:hAnsi="Times New Roman" w:cs="Times New Roman"/>
          <w:sz w:val="24"/>
          <w:szCs w:val="24"/>
        </w:rPr>
        <w:t>— разработчик программы – специалисты администрации МО СП «Алтайское» (далее — Администрация), в компетенции которых находится вопрос, регулируемый данной программой, и (или) муниципальное учреждение, осуществляющие свою деятельность в данной сфере;</w:t>
      </w:r>
      <w:proofErr w:type="gramEnd"/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исполнители программы – специалисты Администрации, муниципальных предприятий и учреждений, любые юридические и физические лица, ответственные за реализацию программы или конкретных программных мероприятий;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целевые индикаторы — количественные показатели, отражающие степень достижения целей и задач, предусмотренных программой;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эффективность программы — качественные показатели, характеризующие результаты ее реализации.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2.1. К муниципальным программам относятся программы, полностью или частично финансируемые из бюджета сельского поселения (далее – бюджет сельского поселения), направленные на решение основных социально-экономических вопросов сельского поселения.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2.2. 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</w:t>
      </w:r>
      <w:r w:rsidRPr="00CE29D4">
        <w:rPr>
          <w:rFonts w:ascii="Times New Roman" w:hAnsi="Times New Roman" w:cs="Times New Roman"/>
          <w:sz w:val="24"/>
          <w:szCs w:val="24"/>
        </w:rPr>
        <w:lastRenderedPageBreak/>
        <w:t>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2.3. Программы утверждаются путем принятия соответствующего постановления Администрации (далее – постановление Администрации).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CE29D4">
        <w:rPr>
          <w:rFonts w:ascii="Times New Roman" w:hAnsi="Times New Roman" w:cs="Times New Roman"/>
          <w:b/>
          <w:sz w:val="24"/>
          <w:szCs w:val="24"/>
        </w:rPr>
        <w:t>3. Основания для разработки программ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3.1. Основаниями для разработки программ являются: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наличие задач, определенных приоритетами и основными направлениями социально-экономического развития сельского поселения на долгосрочный период;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наличие проблемных вопросов развития сельского поселения. В случаях, когда инициатором разработки программы является Совет депутатов сельского поселения (далее – Совет депутатов), предложения по решению проблемных вопросов направляются в Администрацию в соответствии с действующими правилами документооборота;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наличие рекомендаций о разработке и принятии аналогичных программ в правовых актах федерального и (или) регионального уровня</w:t>
      </w:r>
      <w:r w:rsidRPr="00CE29D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E29D4">
        <w:rPr>
          <w:rFonts w:ascii="Times New Roman" w:hAnsi="Times New Roman" w:cs="Times New Roman"/>
          <w:sz w:val="24"/>
          <w:szCs w:val="24"/>
        </w:rPr>
        <w:t>а также муниципальных правовых актов МО «</w:t>
      </w:r>
      <w:proofErr w:type="spellStart"/>
      <w:r w:rsidRPr="00CE29D4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CE29D4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3.2. 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b/>
          <w:sz w:val="24"/>
          <w:szCs w:val="24"/>
        </w:rPr>
        <w:t>4. Разработка программ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4.1. Инициаторами разработки проектов программ могут выступать глава поселения, Совет депутатов.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4.2. При наличии рекомендаций о разработке программы в федеральных и (или) региональных правовых актах решение о разработке проекта программы принимает глава поселения.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4.3. Разработку проекта программы осуществляет разработчик программы.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4.4. Муниципальная программа содержит: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паспорт муниципальной программы по форме согласно приложению № 1 к настоящему Порядку;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информацию, в том числе:</w:t>
      </w:r>
    </w:p>
    <w:p w:rsidR="00522A59" w:rsidRPr="00CE29D4" w:rsidRDefault="00522A59" w:rsidP="00522A59">
      <w:pPr>
        <w:pStyle w:val="a3"/>
        <w:widowControl w:val="0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характеристику текущего состояния, основные проблемы развития;</w:t>
      </w:r>
    </w:p>
    <w:p w:rsidR="00522A59" w:rsidRPr="00CE29D4" w:rsidRDefault="00522A59" w:rsidP="00522A59">
      <w:pPr>
        <w:pStyle w:val="a3"/>
        <w:widowControl w:val="0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приоритеты и цели муниципальной программы и планируемые основные индикаторы;</w:t>
      </w:r>
    </w:p>
    <w:p w:rsidR="00522A59" w:rsidRPr="00CE29D4" w:rsidRDefault="00522A59" w:rsidP="00522A59">
      <w:pPr>
        <w:pStyle w:val="a3"/>
        <w:widowControl w:val="0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прогноз и описание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 степени реализации других общественно значимых интересов и потребностей в соответствующей сфере;</w:t>
      </w:r>
    </w:p>
    <w:p w:rsidR="00522A59" w:rsidRPr="00CE29D4" w:rsidRDefault="00522A59" w:rsidP="00522A59">
      <w:pPr>
        <w:pStyle w:val="a3"/>
        <w:widowControl w:val="0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с указанием сроков их реализации и ожидаемых результатов;</w:t>
      </w:r>
    </w:p>
    <w:p w:rsidR="00522A59" w:rsidRPr="00CE29D4" w:rsidRDefault="00522A59" w:rsidP="00522A59">
      <w:pPr>
        <w:pStyle w:val="a3"/>
        <w:widowControl w:val="0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основные меры правового регулирования муниципальной программы;</w:t>
      </w:r>
    </w:p>
    <w:p w:rsidR="00522A59" w:rsidRPr="00CE29D4" w:rsidRDefault="00522A59" w:rsidP="00522A59">
      <w:pPr>
        <w:pStyle w:val="a3"/>
        <w:widowControl w:val="0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перечень и краткое описание подпрограмм;</w:t>
      </w:r>
    </w:p>
    <w:p w:rsidR="00522A59" w:rsidRPr="00CE29D4" w:rsidRDefault="00522A59" w:rsidP="00522A59">
      <w:pPr>
        <w:pStyle w:val="a3"/>
        <w:widowControl w:val="0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муниципальной программы с расшифровкой </w:t>
      </w:r>
      <w:r w:rsidRPr="00CE29D4">
        <w:rPr>
          <w:rFonts w:ascii="Times New Roman" w:hAnsi="Times New Roman" w:cs="Times New Roman"/>
          <w:sz w:val="24"/>
          <w:szCs w:val="24"/>
        </w:rPr>
        <w:lastRenderedPageBreak/>
        <w:t>плановых значений по годам ее реализации, обоснованием состава и значением соответствующих целевых индикаторов и оценкой влияния внешних факторов и условий на их достижение;</w:t>
      </w:r>
    </w:p>
    <w:p w:rsidR="00522A59" w:rsidRPr="00CE29D4" w:rsidRDefault="00522A59" w:rsidP="00522A59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ресурсное обеспечение муниципальной программы за счет средств местного бюджета с расшифровкой по главным распорядителям средств, по основным мероприятиям подпрограмм, по годам реализации муниципальной программы;</w:t>
      </w:r>
    </w:p>
    <w:p w:rsidR="00522A59" w:rsidRPr="00CE29D4" w:rsidRDefault="00522A59" w:rsidP="00522A59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ресурсное обеспечение муниципальной программы за счет всех источников финансирования  и по годам реализации муниципальной программы;</w:t>
      </w:r>
    </w:p>
    <w:p w:rsidR="00522A59" w:rsidRPr="00CE29D4" w:rsidRDefault="00522A59" w:rsidP="00522A59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— описание мер регулирования и управления рисками с целью минимизации их влияния на достижение целей муниципальной программы.  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4.5. Разработчик представляет проект программы главе поселения.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Глава поселения в недельный срок рассматривает и подготавливает заключение о возможности (невозможности) финансирования программы и представляет его разработчику программы.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4.6. В случае получения положительных заключений, разработчик в соответствии с подпунктом 7 пункта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направляет проект Программы в Контрольно-счетную палату МО «</w:t>
      </w:r>
      <w:proofErr w:type="spellStart"/>
      <w:r w:rsidRPr="00CE29D4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CE29D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4.7. В случае получения положительного заключения Контрольно-счетной палаты МО «</w:t>
      </w:r>
      <w:proofErr w:type="spellStart"/>
      <w:r w:rsidRPr="00CE29D4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CE29D4">
        <w:rPr>
          <w:rFonts w:ascii="Times New Roman" w:hAnsi="Times New Roman" w:cs="Times New Roman"/>
          <w:sz w:val="24"/>
          <w:szCs w:val="24"/>
        </w:rPr>
        <w:t xml:space="preserve"> район», разработчик готовит проект постановления Администрации об утверждении программы и осуществляет его согласование в соответствии с действующими правилами документооборота.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4.8. При получении отрицательного заключения программа не принимается.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b/>
          <w:sz w:val="24"/>
          <w:szCs w:val="24"/>
        </w:rPr>
        <w:t>5. Управление реализацией программы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 5.1. Программы, предполагаемые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на очередной финансовый год (очередной финансовый год и плановый период) в Совет депутатов.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E29D4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Совета депутатов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5.3. В целях достижения результатов программы 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а) разработчик программы: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обеспечивает оперативное управление реализацией и координацию деятельности исполнителей и участников программы;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осуществляет текущий контроль над своевременностью и качеством выполнения мероприятий программы;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lastRenderedPageBreak/>
        <w:t>— подготавливает предложения о внесении изменений в программу в соответствии с п. 6.2 настоящего Положения.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б) исполнитель программы: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размещает муниципальные заказы, необходимые для реализации программы в соответствии с Федеральным законодательством и нормативно-правовыми актами сельского поселения;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готовит и представляет разработчику в установленные сроки отчеты о реализации мероприятий программы;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подготавливает и направляет разработчику предложения о внесении изменений в программу.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CE29D4">
        <w:rPr>
          <w:rFonts w:ascii="Times New Roman" w:hAnsi="Times New Roman" w:cs="Times New Roman"/>
          <w:b/>
          <w:sz w:val="24"/>
          <w:szCs w:val="24"/>
        </w:rPr>
        <w:t>6. Порядок внесения изменений, прекращения действия программ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 6.1. В программы могут быть внесены изменения в случаях: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снижения (увеличения) ожидаемых поступлений в бюджет сельского поселения;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необходимости включения в программу дополнительных мероприятий;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необходимости изменения сроков реализации программы или ее отдельных мероприятий.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Внесение изменений в программу осуществляется в соответствии с требованиями раздела 4 настоящего Порядка.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6.2. Разработку проектов постановлений Администрации о внесении изменений в программу осуществляет разработчик программы.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6.3. При внесении изменений в программу не допускается изменение следующих параметров: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целей и задач программы;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системы программных мероприятий, если это приводит к концептуальным изменениям программы.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6.4. 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6.5. Изменения, внесенные в программные мероприятия, учитываются разработчиком при подготовке отчетов по программе.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6.6. Действие программы может быть прекращено в следующих случаях: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досрочного выполнения целей программы;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появления иных механизмов ликвидации проблемы, на решение которой была направлена программа;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невозможности достижения целей программы, в том числе в силу форс-мажорных обстоятельств;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lastRenderedPageBreak/>
        <w:t>— принятия другой программы, поглощающей полностью или частично первоначальную программу по целям и задачам;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в случае неэффективного и (или) нецелевого использования бюджетных средств, выделенных на реализацию программы;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отсутствия бюджетного финансирования по программе;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— исполнения финансирования менее 30% </w:t>
      </w:r>
      <w:proofErr w:type="gramStart"/>
      <w:r w:rsidRPr="00CE29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9D4">
        <w:rPr>
          <w:rFonts w:ascii="Times New Roman" w:hAnsi="Times New Roman" w:cs="Times New Roman"/>
          <w:sz w:val="24"/>
          <w:szCs w:val="24"/>
        </w:rPr>
        <w:t xml:space="preserve"> планируемого.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6.7. При необходимости срок реализации программы может продлеваться, но не более чем на один год.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b/>
          <w:sz w:val="24"/>
          <w:szCs w:val="24"/>
        </w:rPr>
        <w:t>7. Контроль и отчетность при реализации программы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CE29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29D4">
        <w:rPr>
          <w:rFonts w:ascii="Times New Roman" w:hAnsi="Times New Roman" w:cs="Times New Roman"/>
          <w:sz w:val="24"/>
          <w:szCs w:val="24"/>
        </w:rPr>
        <w:t xml:space="preserve"> исполнением программ осуществляет глава поселения.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7.2.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7.3. С целью обеспечения мониторинга выполнения программы исполнитель программы ежеквартально до 25 числа месяца, следующего за отчетным кварталом, направляет разработчику отчет, который содержит: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перечень выполненных мероприятий программы с указанием объемов и источников финансирования и непосредственных результатов выполнения программы</w:t>
      </w:r>
      <w:r w:rsidRPr="00CE29D4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— аналитическую записку о ходе реализации мероприятий программы, в случае неисполнения – анализ причин несвоевременного выполнения программных мероприятий.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7.4. Годовой отчет о реализации программы подготавливается разработчиком на основе ежеквартальных отчетов, указанных в п. 7.3. Разработчик программы отчитывается перед главой поселения о результатах достижения целей программы не позже 25 апреля года, следующего за </w:t>
      </w:r>
      <w:proofErr w:type="gramStart"/>
      <w:r w:rsidRPr="00CE29D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E29D4">
        <w:rPr>
          <w:rFonts w:ascii="Times New Roman" w:hAnsi="Times New Roman" w:cs="Times New Roman"/>
          <w:sz w:val="24"/>
          <w:szCs w:val="24"/>
        </w:rPr>
        <w:t>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7.5. Годовой отчет 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числе по источникам финансирования.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 xml:space="preserve">7.6. По каждой муниципальной программе ежегодно проводится оценка эффективности ее реализации. Порядок проведения оценки и ее критерии устанавливаются постановлением администрации сельского поселения. По результатам оценки главой сельского поселения </w:t>
      </w:r>
      <w:proofErr w:type="gramStart"/>
      <w:r w:rsidRPr="00CE29D4">
        <w:rPr>
          <w:rFonts w:ascii="Times New Roman" w:hAnsi="Times New Roman" w:cs="Times New Roman"/>
          <w:sz w:val="24"/>
          <w:szCs w:val="24"/>
        </w:rPr>
        <w:t>может быть принято решение о необходимости прекращения или об изменении начиная</w:t>
      </w:r>
      <w:proofErr w:type="gramEnd"/>
      <w:r w:rsidRPr="00CE29D4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CE29D4">
        <w:rPr>
          <w:rFonts w:ascii="Times New Roman" w:hAnsi="Times New Roman" w:cs="Times New Roman"/>
          <w:b/>
          <w:sz w:val="24"/>
          <w:szCs w:val="24"/>
        </w:rPr>
        <w:t>8. Ответственность за реализацию программ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8.1. 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522A59" w:rsidRPr="00CE29D4" w:rsidRDefault="00522A59" w:rsidP="00522A59">
      <w:pPr>
        <w:spacing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lastRenderedPageBreak/>
        <w:t>8.2.  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522A59" w:rsidRDefault="00522A59" w:rsidP="00522A59">
      <w:pPr>
        <w:spacing w:before="100" w:beforeAutospacing="1" w:after="100" w:afterAutospacing="1" w:line="240" w:lineRule="auto"/>
        <w:ind w:left="4820" w:firstLine="425"/>
        <w:rPr>
          <w:rFonts w:ascii="Times New Roman" w:hAnsi="Times New Roman" w:cs="Times New Roman"/>
          <w:sz w:val="24"/>
          <w:szCs w:val="24"/>
        </w:rPr>
      </w:pPr>
    </w:p>
    <w:p w:rsidR="00522A59" w:rsidRDefault="00522A59" w:rsidP="00522A59">
      <w:pPr>
        <w:spacing w:before="100" w:beforeAutospacing="1" w:after="100" w:afterAutospacing="1" w:line="240" w:lineRule="auto"/>
        <w:ind w:left="4820" w:firstLine="425"/>
        <w:rPr>
          <w:rFonts w:ascii="Times New Roman" w:hAnsi="Times New Roman" w:cs="Times New Roman"/>
          <w:sz w:val="24"/>
          <w:szCs w:val="24"/>
        </w:rPr>
      </w:pPr>
    </w:p>
    <w:p w:rsidR="00522A59" w:rsidRPr="00CE29D4" w:rsidRDefault="00522A59" w:rsidP="00522A59">
      <w:pPr>
        <w:spacing w:before="100" w:beforeAutospacing="1" w:after="100" w:afterAutospacing="1" w:line="240" w:lineRule="auto"/>
        <w:ind w:left="4820" w:firstLine="425"/>
        <w:rPr>
          <w:rFonts w:ascii="Times New Roman" w:hAnsi="Times New Roman" w:cs="Times New Roman"/>
          <w:sz w:val="24"/>
          <w:szCs w:val="24"/>
        </w:rPr>
      </w:pPr>
      <w:r w:rsidRPr="00CE29D4">
        <w:rPr>
          <w:rFonts w:ascii="Times New Roman" w:hAnsi="Times New Roman" w:cs="Times New Roman"/>
          <w:sz w:val="24"/>
          <w:szCs w:val="24"/>
        </w:rPr>
        <w:t>Приложение № 1 к Положению о порядке принятия решений о разработке муниципальных программ муниципального образования сельское поселение «Алтайское», их формирования и реализация </w:t>
      </w:r>
    </w:p>
    <w:p w:rsidR="00522A59" w:rsidRPr="00CE29D4" w:rsidRDefault="00522A59" w:rsidP="00522A59">
      <w:pPr>
        <w:spacing w:before="100" w:beforeAutospacing="1" w:line="240" w:lineRule="auto"/>
        <w:ind w:firstLine="425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</w:rPr>
      </w:pPr>
    </w:p>
    <w:p w:rsidR="00522A59" w:rsidRPr="00CE29D4" w:rsidRDefault="00522A59" w:rsidP="00522A59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</w:rPr>
      </w:pPr>
      <w:r w:rsidRPr="00CE29D4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Паспорт муниципальной программы </w:t>
      </w:r>
    </w:p>
    <w:p w:rsidR="00522A59" w:rsidRPr="00CE29D4" w:rsidRDefault="00522A59" w:rsidP="00522A59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</w:rPr>
      </w:pPr>
      <w:r w:rsidRPr="00CE29D4">
        <w:rPr>
          <w:rFonts w:ascii="Times New Roman" w:hAnsi="Times New Roman" w:cs="Times New Roman"/>
          <w:b/>
          <w:bCs/>
          <w:color w:val="3B2D36"/>
          <w:sz w:val="24"/>
          <w:szCs w:val="24"/>
        </w:rPr>
        <w:t>МО СП «Алтайское»</w:t>
      </w:r>
    </w:p>
    <w:p w:rsidR="00522A59" w:rsidRPr="00CE29D4" w:rsidRDefault="00522A59" w:rsidP="00522A59">
      <w:pPr>
        <w:spacing w:before="100" w:beforeAutospacing="1" w:line="240" w:lineRule="auto"/>
        <w:ind w:firstLine="425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522A59" w:rsidRPr="00CE29D4" w:rsidTr="00B457F7">
        <w:tc>
          <w:tcPr>
            <w:tcW w:w="4644" w:type="dxa"/>
          </w:tcPr>
          <w:p w:rsidR="00522A59" w:rsidRPr="00CE29D4" w:rsidRDefault="00522A59" w:rsidP="00522A59">
            <w:pPr>
              <w:pStyle w:val="a3"/>
              <w:numPr>
                <w:ilvl w:val="0"/>
                <w:numId w:val="2"/>
              </w:numPr>
              <w:spacing w:before="100" w:beforeAutospacing="1"/>
              <w:ind w:firstLine="425"/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CE29D4"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27" w:type="dxa"/>
          </w:tcPr>
          <w:p w:rsidR="00522A59" w:rsidRPr="00CE29D4" w:rsidRDefault="00522A59" w:rsidP="00B457F7">
            <w:pPr>
              <w:spacing w:before="100" w:beforeAutospacing="1"/>
              <w:ind w:firstLine="425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</w:tc>
      </w:tr>
      <w:tr w:rsidR="00522A59" w:rsidRPr="00CE29D4" w:rsidTr="00B457F7">
        <w:tc>
          <w:tcPr>
            <w:tcW w:w="4644" w:type="dxa"/>
          </w:tcPr>
          <w:p w:rsidR="00522A59" w:rsidRPr="00CE29D4" w:rsidRDefault="00522A59" w:rsidP="00522A59">
            <w:pPr>
              <w:pStyle w:val="a3"/>
              <w:numPr>
                <w:ilvl w:val="0"/>
                <w:numId w:val="2"/>
              </w:numPr>
              <w:spacing w:before="100" w:beforeAutospacing="1"/>
              <w:ind w:firstLine="425"/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CE29D4"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4927" w:type="dxa"/>
          </w:tcPr>
          <w:p w:rsidR="00522A59" w:rsidRPr="00CE29D4" w:rsidRDefault="00522A59" w:rsidP="00B457F7">
            <w:pPr>
              <w:spacing w:before="100" w:beforeAutospacing="1"/>
              <w:ind w:firstLine="425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</w:tc>
      </w:tr>
      <w:tr w:rsidR="00522A59" w:rsidRPr="00CE29D4" w:rsidTr="00B457F7">
        <w:tc>
          <w:tcPr>
            <w:tcW w:w="4644" w:type="dxa"/>
          </w:tcPr>
          <w:p w:rsidR="00522A59" w:rsidRPr="00CE29D4" w:rsidRDefault="00522A59" w:rsidP="00522A59">
            <w:pPr>
              <w:pStyle w:val="a3"/>
              <w:numPr>
                <w:ilvl w:val="0"/>
                <w:numId w:val="2"/>
              </w:numPr>
              <w:spacing w:before="100" w:beforeAutospacing="1"/>
              <w:ind w:firstLine="425"/>
              <w:jc w:val="both"/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CE29D4"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27" w:type="dxa"/>
          </w:tcPr>
          <w:p w:rsidR="00522A59" w:rsidRPr="00CE29D4" w:rsidRDefault="00522A59" w:rsidP="00B457F7">
            <w:pPr>
              <w:spacing w:before="100" w:beforeAutospacing="1"/>
              <w:ind w:firstLine="425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</w:tc>
      </w:tr>
      <w:tr w:rsidR="00522A59" w:rsidRPr="00CE29D4" w:rsidTr="00B457F7">
        <w:tc>
          <w:tcPr>
            <w:tcW w:w="4644" w:type="dxa"/>
          </w:tcPr>
          <w:p w:rsidR="00522A59" w:rsidRPr="00CE29D4" w:rsidRDefault="00522A59" w:rsidP="00522A59">
            <w:pPr>
              <w:pStyle w:val="a3"/>
              <w:numPr>
                <w:ilvl w:val="0"/>
                <w:numId w:val="2"/>
              </w:numPr>
              <w:spacing w:before="100" w:beforeAutospacing="1"/>
              <w:ind w:firstLine="425"/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CE29D4"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4927" w:type="dxa"/>
          </w:tcPr>
          <w:p w:rsidR="00522A59" w:rsidRPr="00CE29D4" w:rsidRDefault="00522A59" w:rsidP="00B457F7">
            <w:pPr>
              <w:spacing w:before="100" w:beforeAutospacing="1"/>
              <w:ind w:firstLine="425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</w:tc>
      </w:tr>
      <w:tr w:rsidR="00522A59" w:rsidRPr="00CE29D4" w:rsidTr="00B457F7">
        <w:tc>
          <w:tcPr>
            <w:tcW w:w="4644" w:type="dxa"/>
          </w:tcPr>
          <w:p w:rsidR="00522A59" w:rsidRPr="00CE29D4" w:rsidRDefault="00522A59" w:rsidP="00522A59">
            <w:pPr>
              <w:pStyle w:val="a3"/>
              <w:numPr>
                <w:ilvl w:val="0"/>
                <w:numId w:val="2"/>
              </w:numPr>
              <w:spacing w:before="100" w:beforeAutospacing="1"/>
              <w:ind w:firstLine="425"/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CE29D4"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  <w:t>Цели программы</w:t>
            </w:r>
          </w:p>
        </w:tc>
        <w:tc>
          <w:tcPr>
            <w:tcW w:w="4927" w:type="dxa"/>
          </w:tcPr>
          <w:p w:rsidR="00522A59" w:rsidRPr="00CE29D4" w:rsidRDefault="00522A59" w:rsidP="00B457F7">
            <w:pPr>
              <w:spacing w:before="100" w:beforeAutospacing="1"/>
              <w:ind w:firstLine="425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</w:tc>
      </w:tr>
      <w:tr w:rsidR="00522A59" w:rsidRPr="00CE29D4" w:rsidTr="00B457F7">
        <w:tc>
          <w:tcPr>
            <w:tcW w:w="4644" w:type="dxa"/>
          </w:tcPr>
          <w:p w:rsidR="00522A59" w:rsidRPr="00CE29D4" w:rsidRDefault="00522A59" w:rsidP="00522A59">
            <w:pPr>
              <w:pStyle w:val="a3"/>
              <w:numPr>
                <w:ilvl w:val="0"/>
                <w:numId w:val="2"/>
              </w:numPr>
              <w:spacing w:before="100" w:beforeAutospacing="1"/>
              <w:ind w:firstLine="425"/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CE29D4"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  <w:t>Задачи программы</w:t>
            </w:r>
          </w:p>
        </w:tc>
        <w:tc>
          <w:tcPr>
            <w:tcW w:w="4927" w:type="dxa"/>
          </w:tcPr>
          <w:p w:rsidR="00522A59" w:rsidRPr="00CE29D4" w:rsidRDefault="00522A59" w:rsidP="00B457F7">
            <w:pPr>
              <w:spacing w:before="100" w:beforeAutospacing="1"/>
              <w:ind w:firstLine="425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</w:tc>
      </w:tr>
      <w:tr w:rsidR="00522A59" w:rsidRPr="00CE29D4" w:rsidTr="00B457F7">
        <w:tc>
          <w:tcPr>
            <w:tcW w:w="4644" w:type="dxa"/>
          </w:tcPr>
          <w:p w:rsidR="00522A59" w:rsidRPr="00CE29D4" w:rsidRDefault="00522A59" w:rsidP="00522A59">
            <w:pPr>
              <w:pStyle w:val="a3"/>
              <w:numPr>
                <w:ilvl w:val="0"/>
                <w:numId w:val="2"/>
              </w:numPr>
              <w:spacing w:before="100" w:beforeAutospacing="1"/>
              <w:ind w:firstLine="425"/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CE29D4"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4927" w:type="dxa"/>
          </w:tcPr>
          <w:p w:rsidR="00522A59" w:rsidRPr="00CE29D4" w:rsidRDefault="00522A59" w:rsidP="00B457F7">
            <w:pPr>
              <w:spacing w:before="100" w:beforeAutospacing="1"/>
              <w:ind w:firstLine="425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</w:tc>
      </w:tr>
      <w:tr w:rsidR="00522A59" w:rsidRPr="00CE29D4" w:rsidTr="00B457F7">
        <w:tc>
          <w:tcPr>
            <w:tcW w:w="4644" w:type="dxa"/>
          </w:tcPr>
          <w:p w:rsidR="00522A59" w:rsidRPr="00CE29D4" w:rsidRDefault="00522A59" w:rsidP="00522A59">
            <w:pPr>
              <w:pStyle w:val="a3"/>
              <w:numPr>
                <w:ilvl w:val="0"/>
                <w:numId w:val="2"/>
              </w:numPr>
              <w:spacing w:before="100" w:beforeAutospacing="1"/>
              <w:ind w:firstLine="425"/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CE29D4"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4927" w:type="dxa"/>
          </w:tcPr>
          <w:p w:rsidR="00522A59" w:rsidRPr="00CE29D4" w:rsidRDefault="00522A59" w:rsidP="00B457F7">
            <w:pPr>
              <w:spacing w:before="100" w:beforeAutospacing="1"/>
              <w:ind w:firstLine="425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</w:tc>
      </w:tr>
      <w:tr w:rsidR="00522A59" w:rsidRPr="00CE29D4" w:rsidTr="00B457F7">
        <w:tblPrEx>
          <w:tblLook w:val="0000"/>
        </w:tblPrEx>
        <w:trPr>
          <w:trHeight w:val="315"/>
        </w:trPr>
        <w:tc>
          <w:tcPr>
            <w:tcW w:w="4644" w:type="dxa"/>
          </w:tcPr>
          <w:p w:rsidR="00522A59" w:rsidRPr="00CE29D4" w:rsidRDefault="00522A59" w:rsidP="00522A59">
            <w:pPr>
              <w:pStyle w:val="a3"/>
              <w:widowControl w:val="0"/>
              <w:numPr>
                <w:ilvl w:val="0"/>
                <w:numId w:val="2"/>
              </w:numPr>
              <w:spacing w:before="100" w:beforeAutospacing="1"/>
              <w:ind w:firstLine="425"/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CE29D4"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4927" w:type="dxa"/>
          </w:tcPr>
          <w:p w:rsidR="00522A59" w:rsidRPr="00CE29D4" w:rsidRDefault="00522A59" w:rsidP="00B457F7">
            <w:pPr>
              <w:spacing w:before="100" w:beforeAutospacing="1"/>
              <w:ind w:firstLine="425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</w:tc>
      </w:tr>
      <w:tr w:rsidR="00522A59" w:rsidRPr="00CE29D4" w:rsidTr="00B457F7">
        <w:tblPrEx>
          <w:tblLook w:val="0000"/>
        </w:tblPrEx>
        <w:trPr>
          <w:trHeight w:val="360"/>
        </w:trPr>
        <w:tc>
          <w:tcPr>
            <w:tcW w:w="4644" w:type="dxa"/>
          </w:tcPr>
          <w:p w:rsidR="00522A59" w:rsidRPr="00CE29D4" w:rsidRDefault="00522A59" w:rsidP="00522A59">
            <w:pPr>
              <w:pStyle w:val="a3"/>
              <w:widowControl w:val="0"/>
              <w:numPr>
                <w:ilvl w:val="0"/>
                <w:numId w:val="2"/>
              </w:numPr>
              <w:spacing w:before="100" w:beforeAutospacing="1"/>
              <w:ind w:firstLine="425"/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CE29D4">
              <w:rPr>
                <w:rFonts w:ascii="Times New Roman" w:hAnsi="Times New Roman" w:cs="Times New Roman"/>
                <w:b/>
                <w:color w:val="3B2D36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927" w:type="dxa"/>
          </w:tcPr>
          <w:p w:rsidR="00522A59" w:rsidRPr="00CE29D4" w:rsidRDefault="00522A59" w:rsidP="00B457F7">
            <w:pPr>
              <w:spacing w:before="100" w:beforeAutospacing="1"/>
              <w:ind w:firstLine="425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</w:tc>
      </w:tr>
    </w:tbl>
    <w:p w:rsidR="00775CC7" w:rsidRDefault="00775CC7"/>
    <w:sectPr w:rsidR="00775CC7" w:rsidSect="0077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6CE"/>
    <w:multiLevelType w:val="hybridMultilevel"/>
    <w:tmpl w:val="626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F7988"/>
    <w:multiLevelType w:val="hybridMultilevel"/>
    <w:tmpl w:val="CC5EC98E"/>
    <w:lvl w:ilvl="0" w:tplc="85465C7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>
    <w:nsid w:val="671F6B76"/>
    <w:multiLevelType w:val="hybridMultilevel"/>
    <w:tmpl w:val="A1D61C8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A59"/>
    <w:rsid w:val="00522A59"/>
    <w:rsid w:val="00775CC7"/>
    <w:rsid w:val="007F051C"/>
    <w:rsid w:val="0088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59"/>
    <w:pPr>
      <w:ind w:left="720"/>
      <w:contextualSpacing/>
    </w:pPr>
  </w:style>
  <w:style w:type="table" w:styleId="a4">
    <w:name w:val="Table Grid"/>
    <w:basedOn w:val="a1"/>
    <w:uiPriority w:val="59"/>
    <w:rsid w:val="0052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2031</Words>
  <Characters>11579</Characters>
  <Application>Microsoft Office Word</Application>
  <DocSecurity>0</DocSecurity>
  <Lines>96</Lines>
  <Paragraphs>27</Paragraphs>
  <ScaleCrop>false</ScaleCrop>
  <Company>Home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2</cp:revision>
  <dcterms:created xsi:type="dcterms:W3CDTF">2018-02-01T06:21:00Z</dcterms:created>
  <dcterms:modified xsi:type="dcterms:W3CDTF">2018-02-06T03:22:00Z</dcterms:modified>
</cp:coreProperties>
</file>