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D4" w:rsidRDefault="00B316E9" w:rsidP="00B316E9">
      <w:pPr>
        <w:pStyle w:val="22"/>
        <w:framePr w:w="9586" w:h="9127" w:hRule="exact" w:wrap="none" w:vAnchor="page" w:hAnchor="page" w:x="1186" w:y="976"/>
        <w:shd w:val="clear" w:color="auto" w:fill="auto"/>
        <w:spacing w:line="322" w:lineRule="exact"/>
        <w:ind w:left="180" w:firstLine="740"/>
        <w:jc w:val="both"/>
      </w:pPr>
      <w:bookmarkStart w:id="0" w:name="_GoBack"/>
      <w:r>
        <w:t>П</w:t>
      </w:r>
      <w:r>
        <w:t>орядок заключения договора об осуществлении технологическог</w:t>
      </w:r>
      <w:r>
        <w:t>о присоединения к электрическим сетям Бурятэнерго</w:t>
      </w:r>
      <w:bookmarkEnd w:id="0"/>
      <w:r>
        <w:t xml:space="preserve">, </w:t>
      </w:r>
      <w:r w:rsidRPr="00F84671">
        <w:rPr>
          <w:lang w:eastAsia="en-US" w:bidi="en-US"/>
        </w:rPr>
        <w:t xml:space="preserve"> </w:t>
      </w:r>
      <w:r>
        <w:t>регламентируемый Постановлением Правительства РФ от 27.12.2004 г. № 861.</w:t>
      </w:r>
    </w:p>
    <w:p w:rsidR="006B20D4" w:rsidRDefault="00B316E9" w:rsidP="00B316E9">
      <w:pPr>
        <w:pStyle w:val="22"/>
        <w:framePr w:w="9586" w:h="9127" w:hRule="exact" w:wrap="none" w:vAnchor="page" w:hAnchor="page" w:x="1186" w:y="976"/>
        <w:shd w:val="clear" w:color="auto" w:fill="auto"/>
        <w:spacing w:line="322" w:lineRule="exact"/>
        <w:ind w:left="180" w:firstLine="360"/>
        <w:jc w:val="both"/>
      </w:pPr>
      <w:r>
        <w:t xml:space="preserve">I. Заявитель направляет в Бурятэнерго заявку на </w:t>
      </w:r>
      <w:proofErr w:type="gramStart"/>
      <w:r>
        <w:t>технологическое</w:t>
      </w:r>
      <w:proofErr w:type="gramEnd"/>
      <w:r>
        <w:t xml:space="preserve"> присоединение с копиями документов: банковские реквизиты </w:t>
      </w:r>
      <w:r>
        <w:t xml:space="preserve">заявителя, ОГРН, КПП, ИНН, свидетельство о государственной регистрации права на подключаемый объект, либо иное предусмотренное законом основание на объект, Устав, </w:t>
      </w:r>
      <w:proofErr w:type="gramStart"/>
      <w:r>
        <w:t>документ</w:t>
      </w:r>
      <w:proofErr w:type="gramEnd"/>
      <w:r>
        <w:t xml:space="preserve"> подтверждающий полномочия руководителя, либо лица, уполномоченного на подписание дог</w:t>
      </w:r>
      <w:r>
        <w:t>овора, паспорт (лицевая, прописка) руководителя, либо лица, уполномоченного на подписание договора, план (</w:t>
      </w:r>
      <w:proofErr w:type="spellStart"/>
      <w:r>
        <w:t>выкопировка</w:t>
      </w:r>
      <w:proofErr w:type="spellEnd"/>
      <w:r>
        <w:t xml:space="preserve"> ситуационного плана) расположения подключаемого объекта, расчет присоединяемой мощности.</w:t>
      </w:r>
    </w:p>
    <w:p w:rsidR="006B20D4" w:rsidRDefault="00B316E9" w:rsidP="00B316E9">
      <w:pPr>
        <w:pStyle w:val="22"/>
        <w:framePr w:w="9586" w:h="9127" w:hRule="exact" w:wrap="none" w:vAnchor="page" w:hAnchor="page" w:x="1186" w:y="976"/>
        <w:shd w:val="clear" w:color="auto" w:fill="auto"/>
        <w:tabs>
          <w:tab w:val="left" w:pos="5753"/>
        </w:tabs>
        <w:spacing w:line="322" w:lineRule="exact"/>
        <w:ind w:left="180" w:firstLine="360"/>
        <w:jc w:val="both"/>
      </w:pPr>
      <w:r>
        <w:t>В случае, если Заявитель подает заявку на техноло</w:t>
      </w:r>
      <w:r>
        <w:t xml:space="preserve">гическое присоединение уличного освещения, Заявитель предоставляет дополнительные документы: накладные на светильники, </w:t>
      </w:r>
      <w:r>
        <w:rPr>
          <w:rStyle w:val="23"/>
          <w:lang w:val="ru-RU" w:eastAsia="ru-RU" w:bidi="ru-RU"/>
        </w:rPr>
        <w:t>счет-фактуры</w:t>
      </w:r>
      <w:r>
        <w:t xml:space="preserve"> на </w:t>
      </w:r>
      <w:proofErr w:type="spellStart"/>
      <w:r>
        <w:t>све</w:t>
      </w:r>
      <w:r>
        <w:rPr>
          <w:rStyle w:val="23"/>
          <w:lang w:val="ru-RU" w:eastAsia="ru-RU" w:bidi="ru-RU"/>
        </w:rPr>
        <w:t>тильникш</w:t>
      </w:r>
      <w:proofErr w:type="gramStart"/>
      <w:r>
        <w:t>_Е</w:t>
      </w:r>
      <w:proofErr w:type="gramEnd"/>
      <w:r>
        <w:t>сли</w:t>
      </w:r>
      <w:proofErr w:type="spellEnd"/>
      <w:r>
        <w:t xml:space="preserve"> опоры, на которых располагаются светильники находятся в собственности Бурятэнерго, Заявителю необходимо </w:t>
      </w:r>
      <w:r>
        <w:t>в первую очередь заключить договор аренды на опоры с Бурятэнерго, и только после заключения договора аренды подать</w:t>
      </w:r>
      <w:r>
        <w:tab/>
        <w:t>заявку на технологическое</w:t>
      </w:r>
    </w:p>
    <w:p w:rsidR="006B20D4" w:rsidRDefault="00B316E9" w:rsidP="00B316E9">
      <w:pPr>
        <w:pStyle w:val="60"/>
        <w:framePr w:w="9586" w:h="9127" w:hRule="exact" w:wrap="none" w:vAnchor="page" w:hAnchor="page" w:x="1186" w:y="976"/>
        <w:shd w:val="clear" w:color="auto" w:fill="auto"/>
        <w:spacing w:after="589"/>
        <w:ind w:left="180"/>
      </w:pPr>
      <w:r>
        <w:t>присоединения. В случае</w:t>
      </w:r>
      <w:proofErr w:type="gramStart"/>
      <w:r>
        <w:t>,</w:t>
      </w:r>
      <w:proofErr w:type="gramEnd"/>
      <w:r>
        <w:t xml:space="preserve"> если опоры находятся в собственности у Заявителя, но демонтаж ВЛ-0,4кВ, покупку и установк</w:t>
      </w:r>
      <w:r>
        <w:t>у светильников на опоры выполняла подрядная организация, тогда при подачи заявки на</w:t>
      </w:r>
    </w:p>
    <w:p w:rsidR="006B20D4" w:rsidRDefault="006B20D4" w:rsidP="00B316E9">
      <w:pPr>
        <w:pStyle w:val="70"/>
        <w:framePr w:w="9586" w:h="9127" w:hRule="exact" w:wrap="none" w:vAnchor="page" w:hAnchor="page" w:x="1186" w:y="976"/>
        <w:shd w:val="clear" w:color="auto" w:fill="auto"/>
        <w:spacing w:before="0" w:line="260" w:lineRule="exact"/>
      </w:pPr>
    </w:p>
    <w:p w:rsidR="006B20D4" w:rsidRDefault="006B20D4">
      <w:pPr>
        <w:rPr>
          <w:sz w:val="2"/>
          <w:szCs w:val="2"/>
        </w:rPr>
        <w:sectPr w:rsidR="006B20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B20D4" w:rsidRDefault="00B316E9">
      <w:pPr>
        <w:pStyle w:val="22"/>
        <w:framePr w:w="9514" w:h="14318" w:hRule="exact" w:wrap="none" w:vAnchor="page" w:hAnchor="page" w:x="1266" w:y="1245"/>
        <w:shd w:val="clear" w:color="auto" w:fill="auto"/>
        <w:spacing w:line="322" w:lineRule="exact"/>
        <w:jc w:val="both"/>
      </w:pPr>
      <w:r>
        <w:lastRenderedPageBreak/>
        <w:t>технологическое присоединение Заявителю необходимо предоставить Муниципальный контракт, заключенный с подрядной организаци</w:t>
      </w:r>
      <w:r>
        <w:t>ей, и сметную документацию к данному контракту.</w:t>
      </w:r>
    </w:p>
    <w:p w:rsidR="006B20D4" w:rsidRDefault="00B316E9">
      <w:pPr>
        <w:pStyle w:val="22"/>
        <w:framePr w:w="9514" w:h="14318" w:hRule="exact" w:wrap="none" w:vAnchor="page" w:hAnchor="page" w:x="1266" w:y="1245"/>
        <w:shd w:val="clear" w:color="auto" w:fill="auto"/>
        <w:spacing w:line="322" w:lineRule="exact"/>
        <w:ind w:firstLine="4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присоединяемая мощность свыше 150 кВт, Заявитель в заявке на технологическое присоединение указывает дополнительные сведения: количество точек присоединения с указанием технических параметров э</w:t>
      </w:r>
      <w:r>
        <w:t xml:space="preserve">лементов </w:t>
      </w:r>
      <w:proofErr w:type="spellStart"/>
      <w:r>
        <w:t>энергпринимающих</w:t>
      </w:r>
      <w:proofErr w:type="spellEnd"/>
      <w:r>
        <w:t xml:space="preserve"> устройств, заявляемый уровень надежности </w:t>
      </w:r>
      <w:proofErr w:type="spellStart"/>
      <w:r>
        <w:t>энергопринимающих</w:t>
      </w:r>
      <w:proofErr w:type="spellEnd"/>
      <w:r>
        <w:t xml:space="preserve"> устройств, величина и обоснование величины технологического минимума, технологическая и аварийная броня, сроки проектирования и поэтапного введения в эксплуатацию </w:t>
      </w:r>
      <w:proofErr w:type="spellStart"/>
      <w:r>
        <w:t>энергопр</w:t>
      </w:r>
      <w:r>
        <w:t>инимающих</w:t>
      </w:r>
      <w:proofErr w:type="spellEnd"/>
      <w:r>
        <w:t xml:space="preserve"> устройств, планируемое распределение максимальной мощности, сроков ввода и сведения о категории надежности электроснабжения при вводе </w:t>
      </w:r>
      <w:proofErr w:type="spellStart"/>
      <w:r>
        <w:t>энергопринимающих</w:t>
      </w:r>
      <w:proofErr w:type="spellEnd"/>
      <w:r>
        <w:t xml:space="preserve"> устройств по этапам и очередям.</w:t>
      </w:r>
    </w:p>
    <w:p w:rsidR="006B20D4" w:rsidRDefault="00B316E9">
      <w:pPr>
        <w:pStyle w:val="22"/>
        <w:framePr w:w="9514" w:h="14318" w:hRule="exact" w:wrap="none" w:vAnchor="page" w:hAnchor="page" w:x="1266" w:y="1245"/>
        <w:numPr>
          <w:ilvl w:val="0"/>
          <w:numId w:val="1"/>
        </w:numPr>
        <w:shd w:val="clear" w:color="auto" w:fill="auto"/>
        <w:tabs>
          <w:tab w:val="left" w:pos="745"/>
        </w:tabs>
        <w:spacing w:line="322" w:lineRule="exact"/>
        <w:ind w:firstLine="440"/>
        <w:jc w:val="both"/>
      </w:pPr>
      <w:r>
        <w:t xml:space="preserve">Специалистами Бурятэнерго заявка на технологическое </w:t>
      </w:r>
      <w:r>
        <w:t>присоединение направляется в работу, подготавливаются проекты технических условий и проекты договоров технологического присоединения.</w:t>
      </w:r>
    </w:p>
    <w:p w:rsidR="006B20D4" w:rsidRDefault="00B316E9">
      <w:pPr>
        <w:pStyle w:val="22"/>
        <w:framePr w:w="9514" w:h="14318" w:hRule="exact" w:wrap="none" w:vAnchor="page" w:hAnchor="page" w:x="1266" w:y="1245"/>
        <w:numPr>
          <w:ilvl w:val="0"/>
          <w:numId w:val="1"/>
        </w:numPr>
        <w:shd w:val="clear" w:color="auto" w:fill="auto"/>
        <w:tabs>
          <w:tab w:val="left" w:pos="769"/>
        </w:tabs>
        <w:spacing w:line="322" w:lineRule="exact"/>
        <w:ind w:firstLine="340"/>
        <w:jc w:val="both"/>
      </w:pPr>
      <w:r>
        <w:t>В адрес Заявителя Бурятэнерго направляет для подписания заполненный и подписанный проект договора технологического присоед</w:t>
      </w:r>
      <w:r>
        <w:t>инения в двух экземплярах и технические условия как неотъемлемое приложение к договору в течение 15 дней со дня получения заявки от Заявителя. Также, Постановлением Правительства РФ №861 предусмотрен иной порядок предоставления проекта договора и техническ</w:t>
      </w:r>
      <w:r>
        <w:t>их условий для отдельной категории Заявителей: от 10 дней до 30 дней.</w:t>
      </w:r>
    </w:p>
    <w:p w:rsidR="006B20D4" w:rsidRDefault="00B316E9">
      <w:pPr>
        <w:pStyle w:val="22"/>
        <w:framePr w:w="9514" w:h="14318" w:hRule="exact" w:wrap="none" w:vAnchor="page" w:hAnchor="page" w:x="1266" w:y="1245"/>
        <w:numPr>
          <w:ilvl w:val="0"/>
          <w:numId w:val="1"/>
        </w:numPr>
        <w:shd w:val="clear" w:color="auto" w:fill="auto"/>
        <w:tabs>
          <w:tab w:val="left" w:pos="774"/>
        </w:tabs>
        <w:spacing w:line="322" w:lineRule="exact"/>
        <w:ind w:firstLine="340"/>
        <w:jc w:val="both"/>
      </w:pPr>
      <w:r>
        <w:t xml:space="preserve">Заявитель подписывает оба экземпляра проекта договора в течение 30 дней </w:t>
      </w:r>
      <w:proofErr w:type="gramStart"/>
      <w:r>
        <w:t>с даты получения</w:t>
      </w:r>
      <w:proofErr w:type="gramEnd"/>
      <w:r>
        <w:t xml:space="preserve"> подписанного Бурятэнерго проекта договора и направляет в указанный срок один экземпляр Бурятэнерг</w:t>
      </w:r>
      <w:r>
        <w:t>о. В случае несогласия с представленным Бурятэнерго проектом договора Заявитель вправе в течение 30 дней со дня получения подписанного Бурятэнерго проекта договора и технических условий направить Бурятэнерго мотивированный отказ от подписания проекта догов</w:t>
      </w:r>
      <w:r>
        <w:t>ора с предложением об изменении представленного проекта договора.</w:t>
      </w:r>
    </w:p>
    <w:p w:rsidR="006B20D4" w:rsidRDefault="00B316E9">
      <w:pPr>
        <w:pStyle w:val="22"/>
        <w:framePr w:w="9514" w:h="14318" w:hRule="exact" w:wrap="none" w:vAnchor="page" w:hAnchor="page" w:x="1266" w:y="1245"/>
        <w:numPr>
          <w:ilvl w:val="0"/>
          <w:numId w:val="1"/>
        </w:numPr>
        <w:shd w:val="clear" w:color="auto" w:fill="auto"/>
        <w:tabs>
          <w:tab w:val="left" w:pos="764"/>
        </w:tabs>
        <w:spacing w:line="322" w:lineRule="exact"/>
        <w:ind w:firstLine="340"/>
        <w:jc w:val="both"/>
      </w:pPr>
      <w:proofErr w:type="gramStart"/>
      <w:r>
        <w:t xml:space="preserve">В случае </w:t>
      </w:r>
      <w:proofErr w:type="spellStart"/>
      <w:r>
        <w:t>ненаправления</w:t>
      </w:r>
      <w:proofErr w:type="spellEnd"/>
      <w:r>
        <w:t xml:space="preserve"> заявителем подписанного проекта договора либо мотивированного отказа от его подписания, но не раннее чем через 60 дней со дня получения Заявителем подписанного Бурятэн</w:t>
      </w:r>
      <w:r>
        <w:t>ерго проекта договора и технических условий, поданная этим Заявителем заявка на технологическое присоединение аннулируется.</w:t>
      </w:r>
      <w:proofErr w:type="gramEnd"/>
    </w:p>
    <w:p w:rsidR="006B20D4" w:rsidRDefault="00B316E9">
      <w:pPr>
        <w:pStyle w:val="22"/>
        <w:framePr w:w="9514" w:h="14318" w:hRule="exact" w:wrap="none" w:vAnchor="page" w:hAnchor="page" w:x="1266" w:y="1245"/>
        <w:numPr>
          <w:ilvl w:val="0"/>
          <w:numId w:val="1"/>
        </w:numPr>
        <w:shd w:val="clear" w:color="auto" w:fill="auto"/>
        <w:tabs>
          <w:tab w:val="left" w:pos="821"/>
        </w:tabs>
        <w:spacing w:line="322" w:lineRule="exact"/>
        <w:ind w:firstLine="340"/>
        <w:jc w:val="both"/>
      </w:pPr>
      <w:r>
        <w:t>Мероприятия по технологическому присоединению включают в себя:</w:t>
      </w:r>
    </w:p>
    <w:p w:rsidR="006B20D4" w:rsidRDefault="00B316E9">
      <w:pPr>
        <w:pStyle w:val="22"/>
        <w:framePr w:w="9514" w:h="14318" w:hRule="exact" w:wrap="none" w:vAnchor="page" w:hAnchor="page" w:x="1266" w:y="1245"/>
        <w:shd w:val="clear" w:color="auto" w:fill="auto"/>
        <w:tabs>
          <w:tab w:val="left" w:pos="517"/>
        </w:tabs>
        <w:spacing w:line="322" w:lineRule="exact"/>
        <w:ind w:left="180"/>
        <w:jc w:val="both"/>
      </w:pPr>
      <w:r>
        <w:t>а</w:t>
      </w:r>
      <w:proofErr w:type="gramStart"/>
      <w:r>
        <w:t>)</w:t>
      </w:r>
      <w:r>
        <w:tab/>
        <w:t>.</w:t>
      </w:r>
      <w:proofErr w:type="gramEnd"/>
      <w:r>
        <w:t>подготовку и выдачу Бурятэнерго технических условий;</w:t>
      </w:r>
    </w:p>
    <w:p w:rsidR="006B20D4" w:rsidRDefault="00B316E9">
      <w:pPr>
        <w:pStyle w:val="22"/>
        <w:framePr w:w="9514" w:h="14318" w:hRule="exact" w:wrap="none" w:vAnchor="page" w:hAnchor="page" w:x="1266" w:y="1245"/>
        <w:shd w:val="clear" w:color="auto" w:fill="auto"/>
        <w:tabs>
          <w:tab w:val="left" w:pos="2258"/>
        </w:tabs>
        <w:spacing w:line="322" w:lineRule="exact"/>
        <w:ind w:left="180"/>
        <w:jc w:val="both"/>
      </w:pPr>
      <w:r>
        <w:t>б)</w:t>
      </w:r>
      <w:proofErr w:type="gramStart"/>
      <w:r>
        <w:t xml:space="preserve"> </w:t>
      </w:r>
      <w:r>
        <w:t>.</w:t>
      </w:r>
      <w:proofErr w:type="gramEnd"/>
      <w:r>
        <w:t>разработку</w:t>
      </w:r>
      <w:r>
        <w:tab/>
        <w:t>Бурятэнерго проектной документации согласно обязательствам, предусмотренным техническими условиями;</w:t>
      </w:r>
    </w:p>
    <w:p w:rsidR="006B20D4" w:rsidRDefault="00B316E9">
      <w:pPr>
        <w:pStyle w:val="60"/>
        <w:framePr w:w="9514" w:h="14318" w:hRule="exact" w:wrap="none" w:vAnchor="page" w:hAnchor="page" w:x="1266" w:y="1245"/>
        <w:shd w:val="clear" w:color="auto" w:fill="auto"/>
        <w:tabs>
          <w:tab w:val="left" w:pos="550"/>
        </w:tabs>
        <w:spacing w:after="0"/>
        <w:ind w:left="180"/>
      </w:pPr>
      <w:r>
        <w:t>в</w:t>
      </w:r>
      <w:proofErr w:type="gramStart"/>
      <w:r>
        <w:t>)</w:t>
      </w:r>
      <w:r>
        <w:tab/>
        <w:t>.</w:t>
      </w:r>
      <w:proofErr w:type="gramEnd"/>
      <w:r>
        <w:t>разработку Заявителем проектной документации в границах его земельного участка, согласно обязательствам, предусмотренным техническими услови</w:t>
      </w:r>
      <w:r>
        <w:t>ями;</w:t>
      </w:r>
    </w:p>
    <w:p w:rsidR="006B20D4" w:rsidRDefault="006B20D4">
      <w:pPr>
        <w:rPr>
          <w:sz w:val="2"/>
          <w:szCs w:val="2"/>
        </w:rPr>
        <w:sectPr w:rsidR="006B20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B20D4" w:rsidRDefault="00B316E9">
      <w:pPr>
        <w:pStyle w:val="22"/>
        <w:framePr w:w="9442" w:h="11733" w:hRule="exact" w:wrap="none" w:vAnchor="page" w:hAnchor="page" w:x="1302" w:y="1222"/>
        <w:shd w:val="clear" w:color="auto" w:fill="auto"/>
        <w:tabs>
          <w:tab w:val="left" w:pos="512"/>
        </w:tabs>
        <w:spacing w:line="322" w:lineRule="exact"/>
        <w:ind w:left="180"/>
        <w:jc w:val="both"/>
      </w:pPr>
      <w:r>
        <w:lastRenderedPageBreak/>
        <w:t>г</w:t>
      </w:r>
      <w:proofErr w:type="gramStart"/>
      <w:r>
        <w:t>)</w:t>
      </w:r>
      <w:r>
        <w:tab/>
        <w:t>.</w:t>
      </w:r>
      <w:proofErr w:type="gramEnd"/>
      <w:r>
        <w:t>выполнение технических условий Заявителем и Бурятэнерго (Заявитель исполняет указанные обязательства в пределах границ своего участка, Бурятэнерго - до границ участка);</w:t>
      </w:r>
    </w:p>
    <w:p w:rsidR="006B20D4" w:rsidRDefault="00B316E9">
      <w:pPr>
        <w:pStyle w:val="22"/>
        <w:framePr w:w="9442" w:h="11733" w:hRule="exact" w:wrap="none" w:vAnchor="page" w:hAnchor="page" w:x="1302" w:y="1222"/>
        <w:shd w:val="clear" w:color="auto" w:fill="auto"/>
        <w:tabs>
          <w:tab w:val="left" w:pos="546"/>
        </w:tabs>
        <w:spacing w:line="322" w:lineRule="exact"/>
        <w:ind w:left="180"/>
        <w:jc w:val="both"/>
      </w:pPr>
      <w:r>
        <w:t>д</w:t>
      </w:r>
      <w:proofErr w:type="gramStart"/>
      <w:r>
        <w:t>)</w:t>
      </w:r>
      <w:r>
        <w:tab/>
        <w:t>.</w:t>
      </w:r>
      <w:proofErr w:type="gramEnd"/>
      <w:r>
        <w:t>проверку Бурятэнерго выполнения Заявителем техническ</w:t>
      </w:r>
      <w:r>
        <w:t>их условий с оформлением акта - «Акт о выполнении ТУ»;</w:t>
      </w:r>
    </w:p>
    <w:p w:rsidR="006B20D4" w:rsidRDefault="00B316E9">
      <w:pPr>
        <w:pStyle w:val="22"/>
        <w:framePr w:w="9442" w:h="11733" w:hRule="exact" w:wrap="none" w:vAnchor="page" w:hAnchor="page" w:x="1302" w:y="1222"/>
        <w:shd w:val="clear" w:color="auto" w:fill="auto"/>
        <w:tabs>
          <w:tab w:val="left" w:pos="560"/>
        </w:tabs>
        <w:spacing w:line="322" w:lineRule="exact"/>
        <w:ind w:left="180"/>
        <w:jc w:val="both"/>
      </w:pPr>
      <w:r>
        <w:t>е</w:t>
      </w:r>
      <w:proofErr w:type="gramStart"/>
      <w:r>
        <w:t>)</w:t>
      </w:r>
      <w:r>
        <w:tab/>
        <w:t>.</w:t>
      </w:r>
      <w:proofErr w:type="gramEnd"/>
      <w:r>
        <w:t xml:space="preserve">осмотр (обследование) присоединяемых </w:t>
      </w:r>
      <w:proofErr w:type="spellStart"/>
      <w:r>
        <w:t>энергопринимающих</w:t>
      </w:r>
      <w:proofErr w:type="spellEnd"/>
      <w:r>
        <w:t xml:space="preserve"> устройств должностным лицом органа федерального государственного энергетического надзора при участии представителей Бурятэнерго с оформлением </w:t>
      </w:r>
      <w:r>
        <w:t xml:space="preserve">акта - «Акт осмотра (обследования) </w:t>
      </w:r>
      <w:proofErr w:type="spellStart"/>
      <w:r>
        <w:t>энергопринимающих</w:t>
      </w:r>
      <w:proofErr w:type="spellEnd"/>
      <w:r>
        <w:t xml:space="preserve"> </w:t>
      </w:r>
      <w:proofErr w:type="spellStart"/>
      <w:r>
        <w:t>устройст</w:t>
      </w:r>
      <w:proofErr w:type="spellEnd"/>
      <w:r>
        <w:t xml:space="preserve"> Заявителя»;</w:t>
      </w:r>
    </w:p>
    <w:p w:rsidR="006B20D4" w:rsidRDefault="00B316E9">
      <w:pPr>
        <w:pStyle w:val="22"/>
        <w:framePr w:w="9442" w:h="11733" w:hRule="exact" w:wrap="none" w:vAnchor="page" w:hAnchor="page" w:x="1302" w:y="1222"/>
        <w:shd w:val="clear" w:color="auto" w:fill="auto"/>
        <w:tabs>
          <w:tab w:val="left" w:pos="598"/>
        </w:tabs>
        <w:spacing w:line="322" w:lineRule="exact"/>
        <w:ind w:left="180"/>
        <w:jc w:val="both"/>
      </w:pPr>
      <w:r>
        <w:t>ж</w:t>
      </w:r>
      <w:proofErr w:type="gramStart"/>
      <w:r>
        <w:t>)</w:t>
      </w:r>
      <w:r>
        <w:tab/>
        <w:t>.</w:t>
      </w:r>
      <w:proofErr w:type="gramEnd"/>
      <w:r>
        <w:t>осуществление Бурятэнерго фактического присоединения объектов Заявителя к электрическим сетям.</w:t>
      </w:r>
    </w:p>
    <w:p w:rsidR="006B20D4" w:rsidRDefault="00B316E9">
      <w:pPr>
        <w:pStyle w:val="22"/>
        <w:framePr w:w="9442" w:h="11733" w:hRule="exact" w:wrap="none" w:vAnchor="page" w:hAnchor="page" w:x="1302" w:y="1222"/>
        <w:shd w:val="clear" w:color="auto" w:fill="auto"/>
        <w:spacing w:line="322" w:lineRule="exact"/>
        <w:ind w:left="180"/>
        <w:jc w:val="both"/>
      </w:pPr>
      <w:r>
        <w:t>По окончании осуществления мероприятий по технологическому присоединению стороны со</w:t>
      </w:r>
      <w:r>
        <w:t>ставляют акт разграничения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аварийной брони (для отдельной кат</w:t>
      </w:r>
      <w:r>
        <w:t>егории Заявителей).</w:t>
      </w:r>
    </w:p>
    <w:p w:rsidR="006B20D4" w:rsidRDefault="00B316E9">
      <w:pPr>
        <w:pStyle w:val="22"/>
        <w:framePr w:w="9442" w:h="11733" w:hRule="exact" w:wrap="none" w:vAnchor="page" w:hAnchor="page" w:x="1302" w:y="1222"/>
        <w:shd w:val="clear" w:color="auto" w:fill="auto"/>
        <w:spacing w:line="322" w:lineRule="exact"/>
        <w:ind w:firstLine="320"/>
        <w:jc w:val="both"/>
      </w:pPr>
      <w:proofErr w:type="spellStart"/>
      <w:r>
        <w:t>VI.Заявитель</w:t>
      </w:r>
      <w:proofErr w:type="spellEnd"/>
      <w:r>
        <w:t xml:space="preserve"> со своей стороны должен выполнить договорные обязательства перед Бурятэнерго в части оплаты за технологическое присоединение. Пунктом III договора «Плата за технологическое присоединение и порядок расчетов» предусмотрен:</w:t>
      </w:r>
    </w:p>
    <w:p w:rsidR="006B20D4" w:rsidRDefault="00B316E9">
      <w:pPr>
        <w:pStyle w:val="22"/>
        <w:framePr w:w="9442" w:h="11733" w:hRule="exact" w:wrap="none" w:vAnchor="page" w:hAnchor="page" w:x="1302" w:y="1222"/>
        <w:shd w:val="clear" w:color="auto" w:fill="auto"/>
        <w:spacing w:line="322" w:lineRule="exact"/>
        <w:jc w:val="both"/>
      </w:pPr>
      <w:r>
        <w:t xml:space="preserve">- </w:t>
      </w:r>
      <w:r>
        <w:t>размер платы за технологическое присоединение;</w:t>
      </w:r>
    </w:p>
    <w:p w:rsidR="006B20D4" w:rsidRDefault="00B316E9">
      <w:pPr>
        <w:pStyle w:val="22"/>
        <w:framePr w:w="9442" w:h="11733" w:hRule="exact" w:wrap="none" w:vAnchor="page" w:hAnchor="page" w:x="1302" w:y="1222"/>
        <w:shd w:val="clear" w:color="auto" w:fill="auto"/>
        <w:spacing w:line="322" w:lineRule="exact"/>
        <w:jc w:val="both"/>
      </w:pPr>
      <w:r>
        <w:t>-график внесения платы за технологическое присоединение.</w:t>
      </w:r>
    </w:p>
    <w:p w:rsidR="006B20D4" w:rsidRDefault="00B316E9">
      <w:pPr>
        <w:pStyle w:val="22"/>
        <w:framePr w:w="9442" w:h="11733" w:hRule="exact" w:wrap="none" w:vAnchor="page" w:hAnchor="page" w:x="1302" w:y="1222"/>
        <w:shd w:val="clear" w:color="auto" w:fill="auto"/>
        <w:spacing w:line="322" w:lineRule="exact"/>
        <w:jc w:val="both"/>
      </w:pPr>
      <w:r>
        <w:t xml:space="preserve">Плату Заявитель производит на основании выданного Бурятэнерго счета. По данному вопросу Вы можете обращаться к специалисту </w:t>
      </w:r>
      <w:proofErr w:type="spellStart"/>
      <w:r>
        <w:t>Гусиноозерского</w:t>
      </w:r>
      <w:proofErr w:type="spellEnd"/>
      <w:r>
        <w:t xml:space="preserve"> ЦОК Захаровой</w:t>
      </w:r>
      <w:r>
        <w:t xml:space="preserve"> Татьяне Михайловне по телефону 8(30145)42475, электронный адрес - </w:t>
      </w:r>
      <w:hyperlink r:id="rId8" w:history="1">
        <w:r>
          <w:rPr>
            <w:rStyle w:val="a3"/>
          </w:rPr>
          <w:t>torino20</w:t>
        </w:r>
        <w:r>
          <w:rPr>
            <w:rStyle w:val="a3"/>
          </w:rPr>
          <w:t xml:space="preserve">13 </w:t>
        </w:r>
        <w:r>
          <w:rPr>
            <w:rStyle w:val="a3"/>
          </w:rPr>
          <w:t>@yandex.ru</w:t>
        </w:r>
      </w:hyperlink>
      <w:r w:rsidRPr="00F84671">
        <w:rPr>
          <w:lang w:eastAsia="en-US" w:bidi="en-US"/>
        </w:rPr>
        <w:t>.</w:t>
      </w:r>
    </w:p>
    <w:p w:rsidR="006B20D4" w:rsidRDefault="00B316E9">
      <w:pPr>
        <w:pStyle w:val="22"/>
        <w:framePr w:w="9442" w:h="11733" w:hRule="exact" w:wrap="none" w:vAnchor="page" w:hAnchor="page" w:x="1302" w:y="1222"/>
        <w:shd w:val="clear" w:color="auto" w:fill="auto"/>
        <w:spacing w:line="322" w:lineRule="exact"/>
        <w:ind w:firstLine="760"/>
        <w:jc w:val="both"/>
      </w:pPr>
      <w:r>
        <w:t xml:space="preserve">Подать заявку на технологическое присоединение Вы можете по адресу Республика Бурятия, Кяхтинский район, </w:t>
      </w:r>
      <w:proofErr w:type="spellStart"/>
      <w:r>
        <w:t>г</w:t>
      </w:r>
      <w:proofErr w:type="gramStart"/>
      <w:r>
        <w:t>.К</w:t>
      </w:r>
      <w:proofErr w:type="gramEnd"/>
      <w:r>
        <w:t>яхта</w:t>
      </w:r>
      <w:proofErr w:type="spellEnd"/>
      <w:r>
        <w:t xml:space="preserve">, </w:t>
      </w:r>
      <w:proofErr w:type="spellStart"/>
      <w:r>
        <w:t>ул.Заречная</w:t>
      </w:r>
      <w:proofErr w:type="spellEnd"/>
      <w:r>
        <w:t xml:space="preserve">, дом 22. Также, обращаю Ваше внимание на то, что бланки заявок размещены на сайте филиала ПАО «МРСК Сибири» - «Бурятэнерго» </w:t>
      </w:r>
      <w:hyperlink r:id="rId9" w:history="1">
        <w:r>
          <w:rPr>
            <w:rStyle w:val="a3"/>
          </w:rPr>
          <w:t>www.mrsk-sib.ru</w:t>
        </w:r>
      </w:hyperlink>
      <w:r w:rsidRPr="00F84671">
        <w:rPr>
          <w:lang w:eastAsia="en-US" w:bidi="en-US"/>
        </w:rPr>
        <w:t xml:space="preserve"> </w:t>
      </w:r>
      <w:r>
        <w:t>в разделе «Клиентам - Подключение к электрическим сетям - Типовые формы документов - Типовые формы заявок на ТП».</w:t>
      </w:r>
    </w:p>
    <w:p w:rsidR="006B20D4" w:rsidRDefault="00B316E9">
      <w:pPr>
        <w:pStyle w:val="22"/>
        <w:framePr w:w="9442" w:h="11733" w:hRule="exact" w:wrap="none" w:vAnchor="page" w:hAnchor="page" w:x="1302" w:y="1222"/>
        <w:shd w:val="clear" w:color="auto" w:fill="auto"/>
        <w:spacing w:line="322" w:lineRule="exact"/>
        <w:ind w:firstLine="760"/>
        <w:jc w:val="both"/>
      </w:pPr>
      <w:r>
        <w:t xml:space="preserve">В связи с </w:t>
      </w:r>
      <w:proofErr w:type="gramStart"/>
      <w:r>
        <w:t>вышеизложенным</w:t>
      </w:r>
      <w:proofErr w:type="gramEnd"/>
      <w:r>
        <w:t>, рассчитываю на взаимопонимание и надеюсь на плодотворное сотрудничест</w:t>
      </w:r>
      <w:r>
        <w:t>во в данном вопросе.</w:t>
      </w:r>
    </w:p>
    <w:p w:rsidR="006B20D4" w:rsidRDefault="006B20D4">
      <w:pPr>
        <w:rPr>
          <w:sz w:val="2"/>
          <w:szCs w:val="2"/>
        </w:rPr>
      </w:pPr>
    </w:p>
    <w:sectPr w:rsidR="006B20D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71" w:rsidRDefault="00F84671">
      <w:r>
        <w:separator/>
      </w:r>
    </w:p>
  </w:endnote>
  <w:endnote w:type="continuationSeparator" w:id="0">
    <w:p w:rsidR="00F84671" w:rsidRDefault="00F8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71" w:rsidRDefault="00F84671"/>
  </w:footnote>
  <w:footnote w:type="continuationSeparator" w:id="0">
    <w:p w:rsidR="00F84671" w:rsidRDefault="00F846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F0CD0"/>
    <w:multiLevelType w:val="multilevel"/>
    <w:tmpl w:val="57A861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D4"/>
    <w:rsid w:val="0056297F"/>
    <w:rsid w:val="006B20D4"/>
    <w:rsid w:val="00B316E9"/>
    <w:rsid w:val="00F8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Подпись к картинке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Corbel" w:eastAsia="Corbel" w:hAnsi="Corbel" w:cs="Corbel"/>
      <w:b w:val="0"/>
      <w:bCs w:val="0"/>
      <w:i/>
      <w:iCs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10pt">
    <w:name w:val="Заголовок №1 + Не курсив;Интервал 0 pt"/>
    <w:basedOn w:val="1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none"/>
    </w:rPr>
  </w:style>
  <w:style w:type="character" w:customStyle="1" w:styleId="8Arial18pt-1pt">
    <w:name w:val="Основной текст (8) + Arial;18 pt;Курсив;Интервал -1 pt"/>
    <w:basedOn w:val="8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Подпись к картинке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Corbel" w:eastAsia="Corbel" w:hAnsi="Corbel" w:cs="Corbel"/>
      <w:i/>
      <w:iCs/>
      <w:spacing w:val="-10"/>
      <w:sz w:val="22"/>
      <w:szCs w:val="22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30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274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5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B316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6E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Подпись к картинке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Corbel" w:eastAsia="Corbel" w:hAnsi="Corbel" w:cs="Corbel"/>
      <w:b w:val="0"/>
      <w:bCs w:val="0"/>
      <w:i/>
      <w:iCs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10pt">
    <w:name w:val="Заголовок №1 + Не курсив;Интервал 0 pt"/>
    <w:basedOn w:val="1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none"/>
    </w:rPr>
  </w:style>
  <w:style w:type="character" w:customStyle="1" w:styleId="8Arial18pt-1pt">
    <w:name w:val="Основной текст (8) + Arial;18 pt;Курсив;Интервал -1 pt"/>
    <w:basedOn w:val="8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Подпись к картинке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Corbel" w:eastAsia="Corbel" w:hAnsi="Corbel" w:cs="Corbel"/>
      <w:i/>
      <w:iCs/>
      <w:spacing w:val="-10"/>
      <w:sz w:val="22"/>
      <w:szCs w:val="22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30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274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5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B316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6E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ino2013_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sk-s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System Administrator</cp:lastModifiedBy>
  <cp:revision>2</cp:revision>
  <dcterms:created xsi:type="dcterms:W3CDTF">2015-11-16T07:42:00Z</dcterms:created>
  <dcterms:modified xsi:type="dcterms:W3CDTF">2015-11-16T07:42:00Z</dcterms:modified>
</cp:coreProperties>
</file>