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C" w:rsidRPr="00F52E5D" w:rsidRDefault="00CA4B64" w:rsidP="00F52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5D">
        <w:rPr>
          <w:rFonts w:ascii="Times New Roman" w:hAnsi="Times New Roman" w:cs="Times New Roman"/>
          <w:sz w:val="28"/>
          <w:szCs w:val="28"/>
        </w:rPr>
        <w:t xml:space="preserve">Результаты реализации Национального проекта «Демография» в </w:t>
      </w:r>
      <w:proofErr w:type="spellStart"/>
      <w:r w:rsidRPr="00F52E5D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F52E5D">
        <w:rPr>
          <w:rFonts w:ascii="Times New Roman" w:hAnsi="Times New Roman" w:cs="Times New Roman"/>
          <w:sz w:val="28"/>
          <w:szCs w:val="28"/>
        </w:rPr>
        <w:t xml:space="preserve"> районе за 2019 год</w:t>
      </w:r>
    </w:p>
    <w:p w:rsidR="00CA4B64" w:rsidRPr="00F52E5D" w:rsidRDefault="00CA4B64" w:rsidP="00F52E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5D">
        <w:rPr>
          <w:rFonts w:ascii="Times New Roman" w:hAnsi="Times New Roman" w:cs="Times New Roman"/>
          <w:b/>
          <w:sz w:val="28"/>
          <w:szCs w:val="28"/>
        </w:rPr>
        <w:t>«Демография».</w:t>
      </w:r>
      <w:r w:rsidRPr="00F52E5D">
        <w:rPr>
          <w:rFonts w:ascii="Times New Roman" w:hAnsi="Times New Roman" w:cs="Times New Roman"/>
          <w:sz w:val="28"/>
          <w:szCs w:val="28"/>
        </w:rPr>
        <w:t xml:space="preserve"> 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уход- 374 чел., фактически по состоянию на 01.01.2020 г.- 373 (2021 г.- 374, 2022 г. - 374, 2023 г.- 374, 2024 г.- 374). </w:t>
      </w:r>
    </w:p>
    <w:p w:rsidR="00CA4B64" w:rsidRPr="00F52E5D" w:rsidRDefault="00CA4B64" w:rsidP="00F52E5D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09" w:hanging="349"/>
        <w:jc w:val="both"/>
        <w:textAlignment w:val="center"/>
        <w:rPr>
          <w:sz w:val="28"/>
          <w:szCs w:val="28"/>
        </w:rPr>
      </w:pPr>
      <w:r w:rsidRPr="00F52E5D">
        <w:rPr>
          <w:rFonts w:eastAsiaTheme="minorEastAsia"/>
          <w:sz w:val="28"/>
          <w:szCs w:val="28"/>
        </w:rPr>
        <w:t xml:space="preserve"> </w:t>
      </w:r>
      <w:r w:rsidRPr="00F52E5D">
        <w:rPr>
          <w:rFonts w:eastAsiaTheme="minorEastAsia"/>
          <w:b/>
          <w:sz w:val="28"/>
          <w:szCs w:val="28"/>
        </w:rPr>
        <w:t>«Демография».</w:t>
      </w:r>
      <w:r w:rsidRPr="00F52E5D">
        <w:rPr>
          <w:rFonts w:eastAsiaTheme="minorEastAsia"/>
          <w:sz w:val="28"/>
          <w:szCs w:val="28"/>
        </w:rPr>
        <w:t xml:space="preserve"> Региональный проект "Старшее поколение" 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Организация профессионального обучения дополнительного профессионального образования лиц </w:t>
      </w:r>
      <w:proofErr w:type="spell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>предпенсионного</w:t>
      </w:r>
      <w:proofErr w:type="spellEnd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возраста. Было запланировано обучить 14 лиц </w:t>
      </w:r>
      <w:proofErr w:type="spell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>предпенсионного</w:t>
      </w:r>
      <w:proofErr w:type="spellEnd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возраста, на 01.01.2020 г. обучено 14 человек. </w:t>
      </w:r>
    </w:p>
    <w:p w:rsidR="00CA4B64" w:rsidRPr="00F52E5D" w:rsidRDefault="00CA4B64" w:rsidP="00F52E5D">
      <w:pPr>
        <w:pStyle w:val="a4"/>
        <w:tabs>
          <w:tab w:val="left" w:pos="851"/>
        </w:tabs>
        <w:spacing w:before="0" w:beforeAutospacing="0" w:after="0" w:afterAutospacing="0"/>
        <w:ind w:left="709"/>
        <w:jc w:val="both"/>
        <w:textAlignment w:val="center"/>
        <w:rPr>
          <w:sz w:val="28"/>
          <w:szCs w:val="28"/>
        </w:rPr>
      </w:pPr>
    </w:p>
    <w:p w:rsidR="00CA4B64" w:rsidRPr="00F52E5D" w:rsidRDefault="00CA4B64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«Демография».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"Укрепление общественного здоровья". Смертность мужчин трудоспособного возраста (на 100 тыс.). План на 2019 г. – 723,7, факт – 349,9.  </w:t>
      </w:r>
    </w:p>
    <w:p w:rsidR="00CA4B64" w:rsidRPr="00F52E5D" w:rsidRDefault="00CA4B64" w:rsidP="00F52E5D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CA4B64" w:rsidRPr="00F52E5D" w:rsidRDefault="00CA4B64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«Демография».</w:t>
      </w:r>
      <w:r w:rsidRPr="00F52E5D">
        <w:rPr>
          <w:color w:val="000000" w:themeColor="dark1"/>
          <w:kern w:val="24"/>
          <w:sz w:val="28"/>
          <w:szCs w:val="28"/>
        </w:rPr>
        <w:t xml:space="preserve"> 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Целевые значения показателей регионального проекта "Укрепление общественного здоровья". Смертность </w:t>
      </w:r>
      <w:r w:rsidRPr="00F52E5D">
        <w:rPr>
          <w:color w:val="000000" w:themeColor="dark1"/>
          <w:kern w:val="24"/>
          <w:sz w:val="28"/>
          <w:szCs w:val="28"/>
        </w:rPr>
        <w:t>женщин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трудоспособного возраста (на 100 тыс.). План на 2019 – 455,2, факт – 61,2.</w:t>
      </w:r>
    </w:p>
    <w:p w:rsidR="00CA4B64" w:rsidRPr="00F52E5D" w:rsidRDefault="00CA4B64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sz w:val="28"/>
          <w:szCs w:val="28"/>
        </w:rPr>
      </w:pPr>
    </w:p>
    <w:p w:rsidR="00CA4B64" w:rsidRPr="00F52E5D" w:rsidRDefault="00CA4B64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«Демография».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Розничные продажи алкогольной продукции на душу населения (в литрах). План  на 2019 г -5,74, факт в настоящее время не известен, ожидаем информацию по 2019 г. из Министерства промышленности и торговли.</w:t>
      </w:r>
    </w:p>
    <w:p w:rsidR="00CA4B64" w:rsidRPr="00F52E5D" w:rsidRDefault="00CA4B64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sz w:val="28"/>
          <w:szCs w:val="28"/>
        </w:rPr>
      </w:pPr>
    </w:p>
    <w:p w:rsidR="00CA4B64" w:rsidRPr="00F52E5D" w:rsidRDefault="00CA4B64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«Демография».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Целевые значения показателей регионального проекта "Спорт-норма жизни". Доля детей и молодежи (возраст 3-29 лет), систематически занимающихся физической культурой и спортом, в общей численности детей и молодежи</w:t>
      </w:r>
      <w:proofErr w:type="gram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(%) (</w:t>
      </w:r>
      <w:proofErr w:type="gramEnd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основной). План на 2019 г. – 78,5, факт – 78,5. </w:t>
      </w:r>
    </w:p>
    <w:p w:rsidR="00CA4B64" w:rsidRPr="00F52E5D" w:rsidRDefault="00CA4B64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rFonts w:eastAsiaTheme="minorEastAsia"/>
          <w:b/>
          <w:color w:val="000000" w:themeColor="dark1"/>
          <w:kern w:val="24"/>
          <w:sz w:val="28"/>
          <w:szCs w:val="28"/>
        </w:rPr>
      </w:pPr>
    </w:p>
    <w:p w:rsidR="00CA4B64" w:rsidRPr="00F52E5D" w:rsidRDefault="00CA4B64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b/>
          <w:sz w:val="28"/>
          <w:szCs w:val="28"/>
        </w:rPr>
      </w:pPr>
      <w:r w:rsidRPr="00F52E5D">
        <w:rPr>
          <w:rFonts w:eastAsiaTheme="minorEastAsia"/>
          <w:b/>
          <w:color w:val="000000" w:themeColor="dark1"/>
          <w:kern w:val="24"/>
          <w:sz w:val="28"/>
          <w:szCs w:val="28"/>
        </w:rPr>
        <w:t>Проблема: нехватка спортивных залов.</w:t>
      </w:r>
    </w:p>
    <w:p w:rsidR="00CA4B64" w:rsidRPr="00F52E5D" w:rsidRDefault="00CA4B64" w:rsidP="00F52E5D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CA4B64" w:rsidRPr="00F52E5D" w:rsidRDefault="00CA4B64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«Демография».</w:t>
      </w:r>
      <w:r w:rsidRPr="00F52E5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</w:r>
      <w:proofErr w:type="gram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(%) (</w:t>
      </w:r>
      <w:proofErr w:type="gramEnd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>основной). План на 2019 г. – 31,3, факт – 31,3.</w:t>
      </w:r>
    </w:p>
    <w:p w:rsidR="00CA4B64" w:rsidRPr="00F52E5D" w:rsidRDefault="00CA4B64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sz w:val="28"/>
          <w:szCs w:val="28"/>
        </w:rPr>
      </w:pPr>
    </w:p>
    <w:p w:rsidR="00F52E5D" w:rsidRPr="00F52E5D" w:rsidRDefault="00CA4B64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«Демография».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Показатель «Доля граждан старшего возраста» (женщины: 55-79 лет; мужчины: 60-79 лет), систематически занимающихся физической культурой и спортом в общей численности 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lastRenderedPageBreak/>
        <w:t>граждан старшего возраста</w:t>
      </w:r>
      <w:proofErr w:type="gram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(%) (</w:t>
      </w:r>
      <w:proofErr w:type="gramEnd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основной). План на 2019 г. – 4,6; факт – 5. </w:t>
      </w:r>
    </w:p>
    <w:p w:rsidR="00F52E5D" w:rsidRPr="00F52E5D" w:rsidRDefault="00F52E5D" w:rsidP="00F52E5D">
      <w:pPr>
        <w:pStyle w:val="a3"/>
        <w:spacing w:line="240" w:lineRule="auto"/>
        <w:jc w:val="both"/>
        <w:rPr>
          <w:sz w:val="28"/>
          <w:szCs w:val="28"/>
        </w:rPr>
      </w:pPr>
    </w:p>
    <w:p w:rsidR="00F52E5D" w:rsidRPr="00F52E5D" w:rsidRDefault="00F52E5D" w:rsidP="00F52E5D">
      <w:pPr>
        <w:pStyle w:val="a4"/>
        <w:spacing w:before="0" w:beforeAutospacing="0" w:after="0" w:afterAutospacing="0"/>
        <w:ind w:left="708"/>
        <w:jc w:val="both"/>
        <w:textAlignment w:val="center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F52E5D">
        <w:rPr>
          <w:rFonts w:eastAsiaTheme="minorEastAsia"/>
          <w:b/>
          <w:color w:val="000000" w:themeColor="dark1"/>
          <w:kern w:val="24"/>
          <w:sz w:val="28"/>
          <w:szCs w:val="28"/>
        </w:rPr>
        <w:t>Проблемы: нет объектов спорта и специально обученных     инструкторов,    имеющих опыт работы с данной категорией граждан.</w:t>
      </w:r>
    </w:p>
    <w:p w:rsidR="00F52E5D" w:rsidRPr="00F52E5D" w:rsidRDefault="00F52E5D" w:rsidP="00F52E5D">
      <w:pPr>
        <w:pStyle w:val="a4"/>
        <w:spacing w:before="0" w:beforeAutospacing="0" w:after="0" w:afterAutospacing="0"/>
        <w:ind w:left="708"/>
        <w:jc w:val="both"/>
        <w:textAlignment w:val="center"/>
        <w:rPr>
          <w:rFonts w:eastAsiaTheme="minorEastAsia"/>
          <w:b/>
          <w:color w:val="000000" w:themeColor="dark1"/>
          <w:kern w:val="24"/>
          <w:sz w:val="28"/>
          <w:szCs w:val="28"/>
        </w:rPr>
      </w:pPr>
    </w:p>
    <w:p w:rsidR="00F52E5D" w:rsidRPr="00F52E5D" w:rsidRDefault="00F52E5D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«Демография».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Уровень обеспеченности граждан спортивными сооружениями исходя из единовременной пропускной способности объектов спорта</w:t>
      </w:r>
      <w:proofErr w:type="gram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(%) (</w:t>
      </w:r>
      <w:proofErr w:type="gramEnd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основной). План на 2019 г. – 49,8, факт – 49,8. </w:t>
      </w:r>
    </w:p>
    <w:p w:rsidR="00F52E5D" w:rsidRPr="00F52E5D" w:rsidRDefault="00F52E5D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sz w:val="28"/>
          <w:szCs w:val="28"/>
        </w:rPr>
      </w:pPr>
    </w:p>
    <w:p w:rsidR="00F52E5D" w:rsidRPr="00F52E5D" w:rsidRDefault="00F52E5D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sz w:val="28"/>
          <w:szCs w:val="28"/>
        </w:rPr>
      </w:pPr>
      <w:r w:rsidRPr="00F52E5D">
        <w:rPr>
          <w:rFonts w:eastAsiaTheme="minorEastAsia"/>
          <w:b/>
          <w:color w:val="000000" w:themeColor="dark1"/>
          <w:kern w:val="24"/>
          <w:sz w:val="28"/>
          <w:szCs w:val="28"/>
        </w:rPr>
        <w:t>Проблемы: нет объектов спорта.</w:t>
      </w:r>
    </w:p>
    <w:p w:rsidR="00F52E5D" w:rsidRPr="00F52E5D" w:rsidRDefault="00F52E5D" w:rsidP="00F52E5D">
      <w:pPr>
        <w:pStyle w:val="a4"/>
        <w:spacing w:before="0" w:beforeAutospacing="0" w:after="0" w:afterAutospacing="0"/>
        <w:ind w:left="720"/>
        <w:jc w:val="both"/>
        <w:textAlignment w:val="center"/>
        <w:rPr>
          <w:b/>
          <w:sz w:val="28"/>
          <w:szCs w:val="28"/>
        </w:rPr>
      </w:pPr>
    </w:p>
    <w:p w:rsidR="00F52E5D" w:rsidRPr="00F52E5D" w:rsidRDefault="00F52E5D" w:rsidP="00F52E5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F52E5D">
        <w:rPr>
          <w:rFonts w:eastAsiaTheme="majorEastAsia"/>
          <w:bCs/>
          <w:color w:val="000000" w:themeColor="text1"/>
          <w:kern w:val="24"/>
          <w:sz w:val="28"/>
          <w:szCs w:val="28"/>
        </w:rPr>
        <w:t xml:space="preserve"> </w:t>
      </w:r>
      <w:r w:rsidRPr="00F52E5D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«Демография».</w:t>
      </w:r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proofErr w:type="gramStart"/>
      <w:r w:rsidRPr="00F52E5D">
        <w:rPr>
          <w:rFonts w:eastAsiaTheme="minorEastAsia"/>
          <w:color w:val="000000" w:themeColor="dark1"/>
          <w:kern w:val="24"/>
          <w:sz w:val="28"/>
          <w:szCs w:val="28"/>
        </w:rPr>
        <w:t>Доля занимающихся по программам спортивной подготовки в организациях ведомственной принадлежности</w:t>
      </w:r>
      <w:proofErr w:type="gramEnd"/>
    </w:p>
    <w:p w:rsidR="00F52E5D" w:rsidRDefault="00F52E5D" w:rsidP="00F52E5D">
      <w:pPr>
        <w:pStyle w:val="a3"/>
      </w:pPr>
    </w:p>
    <w:p w:rsidR="00F52E5D" w:rsidRDefault="00F52E5D" w:rsidP="00F52E5D">
      <w:pPr>
        <w:pStyle w:val="a4"/>
        <w:spacing w:before="0" w:beforeAutospacing="0" w:after="0" w:afterAutospacing="0"/>
        <w:jc w:val="both"/>
        <w:textAlignment w:val="center"/>
      </w:pPr>
    </w:p>
    <w:p w:rsidR="00F52E5D" w:rsidRDefault="00F52E5D" w:rsidP="00F52E5D">
      <w:pPr>
        <w:pStyle w:val="a4"/>
        <w:spacing w:before="0" w:beforeAutospacing="0" w:after="0" w:afterAutospacing="0"/>
        <w:jc w:val="both"/>
        <w:textAlignment w:val="center"/>
      </w:pPr>
    </w:p>
    <w:p w:rsidR="00CA4B64" w:rsidRDefault="00CA4B64" w:rsidP="00CA4B64">
      <w:pPr>
        <w:pStyle w:val="a4"/>
        <w:spacing w:before="0" w:beforeAutospacing="0" w:after="0" w:afterAutospacing="0"/>
        <w:jc w:val="both"/>
        <w:textAlignment w:val="center"/>
      </w:pPr>
    </w:p>
    <w:p w:rsidR="00F52E5D" w:rsidRDefault="00F52E5D" w:rsidP="00CA4B64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b/>
          <w:color w:val="000000" w:themeColor="dark1"/>
          <w:kern w:val="24"/>
        </w:rPr>
      </w:pPr>
    </w:p>
    <w:p w:rsidR="00F52E5D" w:rsidRPr="00CA4B64" w:rsidRDefault="00F52E5D" w:rsidP="00CA4B64">
      <w:pPr>
        <w:pStyle w:val="a4"/>
        <w:spacing w:before="0" w:beforeAutospacing="0" w:after="0" w:afterAutospacing="0"/>
        <w:jc w:val="both"/>
        <w:textAlignment w:val="center"/>
      </w:pPr>
      <w:bookmarkStart w:id="0" w:name="_GoBack"/>
      <w:bookmarkEnd w:id="0"/>
    </w:p>
    <w:p w:rsidR="00CA4B64" w:rsidRDefault="00CA4B64"/>
    <w:sectPr w:rsidR="00CA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1F9"/>
    <w:multiLevelType w:val="hybridMultilevel"/>
    <w:tmpl w:val="4724B5CA"/>
    <w:lvl w:ilvl="0" w:tplc="35F2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6BF9"/>
    <w:multiLevelType w:val="hybridMultilevel"/>
    <w:tmpl w:val="4724B5CA"/>
    <w:lvl w:ilvl="0" w:tplc="35F2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9A"/>
    <w:rsid w:val="00386BF7"/>
    <w:rsid w:val="00761F9A"/>
    <w:rsid w:val="00CA4B64"/>
    <w:rsid w:val="00F52E5D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3</cp:revision>
  <dcterms:created xsi:type="dcterms:W3CDTF">2020-06-05T07:51:00Z</dcterms:created>
  <dcterms:modified xsi:type="dcterms:W3CDTF">2020-06-05T07:58:00Z</dcterms:modified>
</cp:coreProperties>
</file>